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35DC7" w:rsidRDefault="00D35DC7">
      <w:pPr>
        <w:pStyle w:val="Ttulo2"/>
        <w:ind w:left="0"/>
        <w:jc w:val="center"/>
        <w:rPr>
          <w:i w:val="0"/>
          <w:sz w:val="28"/>
          <w:szCs w:val="28"/>
          <w:u w:val="none"/>
        </w:rPr>
      </w:pPr>
      <w:bookmarkStart w:id="0" w:name="_GoBack"/>
      <w:bookmarkEnd w:id="0"/>
    </w:p>
    <w:p w:rsidR="00D35DC7" w:rsidRDefault="00982954">
      <w:pPr>
        <w:spacing w:line="276" w:lineRule="auto"/>
        <w:jc w:val="center"/>
        <w:rPr>
          <w:rFonts w:ascii="Arial" w:eastAsia="Arial" w:hAnsi="Arial" w:cs="Arial"/>
          <w:b/>
        </w:rPr>
      </w:pPr>
      <w:r>
        <w:rPr>
          <w:rFonts w:ascii="Arial" w:eastAsia="Arial" w:hAnsi="Arial" w:cs="Arial"/>
          <w:b/>
        </w:rPr>
        <w:t>MEMORANDO</w:t>
      </w:r>
    </w:p>
    <w:p w:rsidR="00D35DC7" w:rsidRDefault="00982954">
      <w:pPr>
        <w:spacing w:line="276" w:lineRule="auto"/>
        <w:jc w:val="center"/>
        <w:rPr>
          <w:rFonts w:ascii="Arial" w:eastAsia="Arial" w:hAnsi="Arial" w:cs="Arial"/>
        </w:rPr>
      </w:pPr>
      <w:r>
        <w:rPr>
          <w:rFonts w:ascii="Arial" w:eastAsia="Arial" w:hAnsi="Arial" w:cs="Arial"/>
        </w:rPr>
        <w:t xml:space="preserve"> </w:t>
      </w:r>
    </w:p>
    <w:p w:rsidR="00D35DC7" w:rsidRDefault="00982954">
      <w:pPr>
        <w:spacing w:line="276" w:lineRule="auto"/>
        <w:jc w:val="center"/>
        <w:rPr>
          <w:rFonts w:ascii="Arial" w:eastAsia="Arial" w:hAnsi="Arial" w:cs="Arial"/>
        </w:rPr>
      </w:pPr>
      <w:r>
        <w:rPr>
          <w:rFonts w:ascii="Arial" w:eastAsia="Arial" w:hAnsi="Arial" w:cs="Arial"/>
        </w:rPr>
        <w:t xml:space="preserve"> </w:t>
      </w:r>
    </w:p>
    <w:p w:rsidR="00D35DC7" w:rsidRDefault="00982954">
      <w:pPr>
        <w:spacing w:line="276" w:lineRule="auto"/>
        <w:rPr>
          <w:rFonts w:ascii="Arial" w:eastAsia="Arial" w:hAnsi="Arial" w:cs="Arial"/>
        </w:rPr>
      </w:pPr>
      <w:r>
        <w:rPr>
          <w:rFonts w:ascii="Arial" w:eastAsia="Arial" w:hAnsi="Arial" w:cs="Arial"/>
          <w:b/>
        </w:rPr>
        <w:t>PARA</w:t>
      </w:r>
      <w:r>
        <w:rPr>
          <w:rFonts w:ascii="Arial" w:eastAsia="Arial" w:hAnsi="Arial" w:cs="Arial"/>
        </w:rPr>
        <w:t xml:space="preserve">:        </w:t>
      </w:r>
      <w:r>
        <w:rPr>
          <w:rFonts w:ascii="Arial" w:eastAsia="Arial" w:hAnsi="Arial" w:cs="Arial"/>
        </w:rPr>
        <w:tab/>
      </w:r>
      <w:r>
        <w:rPr>
          <w:rFonts w:ascii="Arial" w:eastAsia="Arial" w:hAnsi="Arial" w:cs="Arial"/>
          <w:b/>
        </w:rPr>
        <w:t>DAVID ANDRÉS GIRALDO UMBARILA</w:t>
      </w:r>
    </w:p>
    <w:p w:rsidR="00D35DC7" w:rsidRDefault="00982954">
      <w:pPr>
        <w:spacing w:line="276" w:lineRule="auto"/>
        <w:ind w:left="1440"/>
        <w:rPr>
          <w:rFonts w:ascii="Arial" w:eastAsia="Arial" w:hAnsi="Arial" w:cs="Arial"/>
        </w:rPr>
      </w:pPr>
      <w:r>
        <w:rPr>
          <w:rFonts w:ascii="Arial" w:eastAsia="Arial" w:hAnsi="Arial" w:cs="Arial"/>
        </w:rPr>
        <w:t>Secretario de Despacho Comisión Primera del Plan de Desarrollo y Ordenamiento Territorial.</w:t>
      </w:r>
    </w:p>
    <w:p w:rsidR="00D35DC7" w:rsidRDefault="00982954">
      <w:pPr>
        <w:spacing w:line="276" w:lineRule="auto"/>
        <w:rPr>
          <w:rFonts w:ascii="Arial" w:eastAsia="Arial" w:hAnsi="Arial" w:cs="Arial"/>
        </w:rPr>
      </w:pPr>
      <w:r>
        <w:rPr>
          <w:rFonts w:ascii="Arial" w:eastAsia="Arial" w:hAnsi="Arial" w:cs="Arial"/>
        </w:rPr>
        <w:t xml:space="preserve">                 </w:t>
      </w:r>
      <w:r>
        <w:rPr>
          <w:rFonts w:ascii="Arial" w:eastAsia="Arial" w:hAnsi="Arial" w:cs="Arial"/>
        </w:rPr>
        <w:tab/>
        <w:t xml:space="preserve">   </w:t>
      </w:r>
    </w:p>
    <w:p w:rsidR="00D35DC7" w:rsidRDefault="00982954">
      <w:pPr>
        <w:spacing w:line="276" w:lineRule="auto"/>
        <w:jc w:val="center"/>
        <w:rPr>
          <w:rFonts w:ascii="Arial" w:eastAsia="Arial" w:hAnsi="Arial" w:cs="Arial"/>
        </w:rPr>
      </w:pPr>
      <w:r>
        <w:rPr>
          <w:rFonts w:ascii="Arial" w:eastAsia="Arial" w:hAnsi="Arial" w:cs="Arial"/>
        </w:rPr>
        <w:t xml:space="preserve"> </w:t>
      </w:r>
    </w:p>
    <w:p w:rsidR="00D35DC7" w:rsidRDefault="00982954">
      <w:pPr>
        <w:spacing w:line="276" w:lineRule="auto"/>
        <w:rPr>
          <w:rFonts w:ascii="Arial" w:eastAsia="Arial" w:hAnsi="Arial" w:cs="Arial"/>
        </w:rPr>
      </w:pPr>
      <w:r>
        <w:rPr>
          <w:rFonts w:ascii="Arial" w:eastAsia="Arial" w:hAnsi="Arial" w:cs="Arial"/>
          <w:b/>
        </w:rPr>
        <w:t>DE</w:t>
      </w:r>
      <w:r>
        <w:rPr>
          <w:rFonts w:ascii="Arial" w:eastAsia="Arial" w:hAnsi="Arial" w:cs="Arial"/>
        </w:rPr>
        <w:t xml:space="preserve">:             </w:t>
      </w:r>
      <w:r>
        <w:rPr>
          <w:rFonts w:ascii="Arial" w:eastAsia="Arial" w:hAnsi="Arial" w:cs="Arial"/>
        </w:rPr>
        <w:tab/>
        <w:t>H.C. CLARA LUCÍA SANDOVAL MORENO</w:t>
      </w:r>
    </w:p>
    <w:p w:rsidR="00D35DC7" w:rsidRDefault="00D35DC7">
      <w:pPr>
        <w:spacing w:line="276" w:lineRule="auto"/>
        <w:jc w:val="center"/>
        <w:rPr>
          <w:rFonts w:ascii="Arial" w:eastAsia="Arial" w:hAnsi="Arial" w:cs="Arial"/>
        </w:rPr>
      </w:pPr>
    </w:p>
    <w:p w:rsidR="00D35DC7" w:rsidRDefault="00D35DC7">
      <w:pPr>
        <w:spacing w:line="276" w:lineRule="auto"/>
        <w:jc w:val="center"/>
        <w:rPr>
          <w:rFonts w:ascii="Arial" w:eastAsia="Arial" w:hAnsi="Arial" w:cs="Arial"/>
        </w:rPr>
      </w:pPr>
    </w:p>
    <w:p w:rsidR="00D35DC7" w:rsidRDefault="00982954">
      <w:pPr>
        <w:spacing w:line="276" w:lineRule="auto"/>
        <w:rPr>
          <w:rFonts w:ascii="Arial" w:eastAsia="Arial" w:hAnsi="Arial" w:cs="Arial"/>
        </w:rPr>
      </w:pPr>
      <w:r>
        <w:rPr>
          <w:rFonts w:ascii="Arial" w:eastAsia="Arial" w:hAnsi="Arial" w:cs="Arial"/>
          <w:b/>
        </w:rPr>
        <w:t>ASUNTO:</w:t>
      </w:r>
      <w:r>
        <w:rPr>
          <w:rFonts w:ascii="Arial" w:eastAsia="Arial" w:hAnsi="Arial" w:cs="Arial"/>
        </w:rPr>
        <w:t xml:space="preserve">  </w:t>
      </w:r>
      <w:r>
        <w:rPr>
          <w:rFonts w:ascii="Arial" w:eastAsia="Arial" w:hAnsi="Arial" w:cs="Arial"/>
        </w:rPr>
        <w:tab/>
        <w:t xml:space="preserve">Ponencia Positiva con Modificaciones al Proyecto de  </w:t>
      </w:r>
    </w:p>
    <w:p w:rsidR="00D35DC7" w:rsidRDefault="00982954">
      <w:pPr>
        <w:spacing w:line="276" w:lineRule="auto"/>
        <w:rPr>
          <w:rFonts w:ascii="Arial" w:eastAsia="Arial" w:hAnsi="Arial" w:cs="Arial"/>
        </w:rPr>
      </w:pPr>
      <w:r>
        <w:rPr>
          <w:rFonts w:ascii="Arial" w:eastAsia="Arial" w:hAnsi="Arial" w:cs="Arial"/>
        </w:rPr>
        <w:t xml:space="preserve">                     Acuerdo No. 368 de 2024.</w:t>
      </w:r>
    </w:p>
    <w:p w:rsidR="00D35DC7" w:rsidRDefault="00D35DC7">
      <w:pPr>
        <w:spacing w:line="276" w:lineRule="auto"/>
        <w:rPr>
          <w:rFonts w:ascii="Arial" w:eastAsia="Arial" w:hAnsi="Arial" w:cs="Arial"/>
        </w:rPr>
      </w:pPr>
    </w:p>
    <w:p w:rsidR="00D35DC7" w:rsidRDefault="00982954">
      <w:pPr>
        <w:spacing w:line="276" w:lineRule="auto"/>
        <w:ind w:left="2840" w:hanging="1420"/>
        <w:jc w:val="center"/>
        <w:rPr>
          <w:rFonts w:ascii="Arial" w:eastAsia="Arial" w:hAnsi="Arial" w:cs="Arial"/>
        </w:rPr>
      </w:pPr>
      <w:r>
        <w:rPr>
          <w:rFonts w:ascii="Arial" w:eastAsia="Arial" w:hAnsi="Arial" w:cs="Arial"/>
        </w:rPr>
        <w:t xml:space="preserve"> </w:t>
      </w:r>
    </w:p>
    <w:p w:rsidR="00D35DC7" w:rsidRDefault="00982954">
      <w:pPr>
        <w:spacing w:line="276" w:lineRule="auto"/>
        <w:jc w:val="both"/>
        <w:rPr>
          <w:rFonts w:ascii="Arial" w:eastAsia="Arial" w:hAnsi="Arial" w:cs="Arial"/>
        </w:rPr>
      </w:pPr>
      <w:r>
        <w:rPr>
          <w:rFonts w:ascii="Arial" w:eastAsia="Arial" w:hAnsi="Arial" w:cs="Arial"/>
        </w:rPr>
        <w:t>Apreciado Secretario;</w:t>
      </w:r>
    </w:p>
    <w:p w:rsidR="00D35DC7" w:rsidRDefault="00982954">
      <w:pPr>
        <w:spacing w:line="276" w:lineRule="auto"/>
        <w:jc w:val="both"/>
        <w:rPr>
          <w:rFonts w:ascii="Arial" w:eastAsia="Arial" w:hAnsi="Arial" w:cs="Arial"/>
        </w:rPr>
      </w:pPr>
      <w:r>
        <w:rPr>
          <w:rFonts w:ascii="Arial" w:eastAsia="Arial" w:hAnsi="Arial" w:cs="Arial"/>
        </w:rPr>
        <w:t xml:space="preserve"> </w:t>
      </w:r>
    </w:p>
    <w:p w:rsidR="00D35DC7" w:rsidRDefault="00982954">
      <w:pPr>
        <w:spacing w:line="276" w:lineRule="auto"/>
        <w:jc w:val="both"/>
        <w:rPr>
          <w:rFonts w:ascii="Arial" w:eastAsia="Arial" w:hAnsi="Arial" w:cs="Arial"/>
        </w:rPr>
      </w:pPr>
      <w:r>
        <w:rPr>
          <w:rFonts w:ascii="Arial" w:eastAsia="Arial" w:hAnsi="Arial" w:cs="Arial"/>
        </w:rPr>
        <w:t xml:space="preserve">Reciba un cordial saludo, de conformidad con lo señalado en el Artículo 71 del Acuerdo 741 de 2019, de manera atenta, me permito radicar de forma digital, ante su despacho </w:t>
      </w:r>
      <w:r>
        <w:rPr>
          <w:rFonts w:ascii="Arial" w:eastAsia="Arial" w:hAnsi="Arial" w:cs="Arial"/>
          <w:b/>
        </w:rPr>
        <w:t>PONENCIA POSITIVA CON MODIFICACIONES</w:t>
      </w:r>
      <w:r>
        <w:rPr>
          <w:rFonts w:ascii="Arial" w:eastAsia="Arial" w:hAnsi="Arial" w:cs="Arial"/>
        </w:rPr>
        <w:t xml:space="preserve"> al Proyecto de Acuerdo No. 368 de 2024 “Por medio del cual se adopta el plan de desarrollo económico, social, ambiental y de obras públicas del distrito capital 2024-2027 </w:t>
      </w:r>
      <w:r>
        <w:rPr>
          <w:rFonts w:ascii="Arial" w:eastAsia="Arial" w:hAnsi="Arial" w:cs="Arial"/>
          <w:i/>
        </w:rPr>
        <w:t>Bogotá camina segura</w:t>
      </w:r>
      <w:r>
        <w:rPr>
          <w:rFonts w:ascii="Arial" w:eastAsia="Arial" w:hAnsi="Arial" w:cs="Arial"/>
        </w:rPr>
        <w:t>”.</w:t>
      </w:r>
    </w:p>
    <w:p w:rsidR="00D35DC7" w:rsidRDefault="00982954">
      <w:pPr>
        <w:spacing w:line="276" w:lineRule="auto"/>
        <w:jc w:val="both"/>
        <w:rPr>
          <w:rFonts w:ascii="Arial" w:eastAsia="Arial" w:hAnsi="Arial" w:cs="Arial"/>
        </w:rPr>
      </w:pPr>
      <w:r>
        <w:rPr>
          <w:rFonts w:ascii="Arial" w:eastAsia="Arial" w:hAnsi="Arial" w:cs="Arial"/>
        </w:rPr>
        <w:t xml:space="preserve"> </w:t>
      </w:r>
    </w:p>
    <w:p w:rsidR="00D35DC7" w:rsidRDefault="00D35DC7">
      <w:pPr>
        <w:spacing w:line="276" w:lineRule="auto"/>
        <w:jc w:val="both"/>
        <w:rPr>
          <w:rFonts w:ascii="Arial" w:eastAsia="Arial" w:hAnsi="Arial" w:cs="Arial"/>
        </w:rPr>
      </w:pPr>
    </w:p>
    <w:p w:rsidR="00D35DC7" w:rsidRDefault="00982954">
      <w:pPr>
        <w:spacing w:line="276" w:lineRule="auto"/>
        <w:jc w:val="both"/>
        <w:rPr>
          <w:rFonts w:ascii="Arial" w:eastAsia="Arial" w:hAnsi="Arial" w:cs="Arial"/>
        </w:rPr>
      </w:pPr>
      <w:r>
        <w:rPr>
          <w:rFonts w:ascii="Arial" w:eastAsia="Arial" w:hAnsi="Arial" w:cs="Arial"/>
        </w:rPr>
        <w:t>Cordialmente,</w:t>
      </w:r>
    </w:p>
    <w:p w:rsidR="00D35DC7" w:rsidRDefault="00982954">
      <w:pPr>
        <w:spacing w:line="276" w:lineRule="auto"/>
        <w:jc w:val="both"/>
        <w:rPr>
          <w:rFonts w:ascii="Arial" w:eastAsia="Arial" w:hAnsi="Arial" w:cs="Arial"/>
        </w:rPr>
      </w:pPr>
      <w:r>
        <w:rPr>
          <w:noProof/>
          <w:lang w:val="es-ES" w:eastAsia="es-ES"/>
        </w:rPr>
        <w:drawing>
          <wp:anchor distT="0" distB="0" distL="0" distR="0" simplePos="0" relativeHeight="251658240" behindDoc="1" locked="0" layoutInCell="1" hidden="0" allowOverlap="1">
            <wp:simplePos x="0" y="0"/>
            <wp:positionH relativeFrom="column">
              <wp:posOffset>0</wp:posOffset>
            </wp:positionH>
            <wp:positionV relativeFrom="paragraph">
              <wp:posOffset>41114</wp:posOffset>
            </wp:positionV>
            <wp:extent cx="1805412" cy="707788"/>
            <wp:effectExtent l="0" t="0" r="0" b="0"/>
            <wp:wrapNone/>
            <wp:docPr id="10"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8"/>
                    <a:srcRect/>
                    <a:stretch>
                      <a:fillRect/>
                    </a:stretch>
                  </pic:blipFill>
                  <pic:spPr>
                    <a:xfrm>
                      <a:off x="0" y="0"/>
                      <a:ext cx="1805412" cy="707788"/>
                    </a:xfrm>
                    <a:prstGeom prst="rect">
                      <a:avLst/>
                    </a:prstGeom>
                    <a:ln/>
                  </pic:spPr>
                </pic:pic>
              </a:graphicData>
            </a:graphic>
          </wp:anchor>
        </w:drawing>
      </w:r>
    </w:p>
    <w:p w:rsidR="00D35DC7" w:rsidRDefault="00982954">
      <w:pPr>
        <w:spacing w:line="276" w:lineRule="auto"/>
        <w:jc w:val="both"/>
        <w:rPr>
          <w:rFonts w:ascii="Arial" w:eastAsia="Arial" w:hAnsi="Arial" w:cs="Arial"/>
        </w:rPr>
      </w:pPr>
      <w:r>
        <w:rPr>
          <w:rFonts w:ascii="Arial" w:eastAsia="Arial" w:hAnsi="Arial" w:cs="Arial"/>
        </w:rPr>
        <w:t xml:space="preserve"> </w:t>
      </w:r>
    </w:p>
    <w:p w:rsidR="00D35DC7" w:rsidRDefault="00D35DC7">
      <w:pPr>
        <w:spacing w:line="276" w:lineRule="auto"/>
        <w:jc w:val="both"/>
        <w:rPr>
          <w:rFonts w:ascii="Arial" w:eastAsia="Arial" w:hAnsi="Arial" w:cs="Arial"/>
        </w:rPr>
      </w:pPr>
    </w:p>
    <w:p w:rsidR="00D35DC7" w:rsidRDefault="00D35DC7">
      <w:pPr>
        <w:spacing w:line="276" w:lineRule="auto"/>
        <w:jc w:val="both"/>
        <w:rPr>
          <w:rFonts w:ascii="Arial" w:eastAsia="Arial" w:hAnsi="Arial" w:cs="Arial"/>
        </w:rPr>
      </w:pPr>
    </w:p>
    <w:p w:rsidR="00D35DC7" w:rsidRDefault="00982954">
      <w:pPr>
        <w:spacing w:line="276" w:lineRule="auto"/>
        <w:jc w:val="both"/>
        <w:rPr>
          <w:rFonts w:ascii="Arial" w:eastAsia="Arial" w:hAnsi="Arial" w:cs="Arial"/>
          <w:b/>
        </w:rPr>
      </w:pPr>
      <w:r>
        <w:rPr>
          <w:rFonts w:ascii="Arial" w:eastAsia="Arial" w:hAnsi="Arial" w:cs="Arial"/>
          <w:b/>
        </w:rPr>
        <w:t>CLARA LUCÍA SANDOVAL MORENO</w:t>
      </w:r>
    </w:p>
    <w:p w:rsidR="00D35DC7" w:rsidRDefault="00982954">
      <w:pPr>
        <w:spacing w:line="276" w:lineRule="auto"/>
        <w:jc w:val="both"/>
        <w:rPr>
          <w:rFonts w:ascii="Arial" w:eastAsia="Arial" w:hAnsi="Arial" w:cs="Arial"/>
        </w:rPr>
      </w:pPr>
      <w:r>
        <w:rPr>
          <w:rFonts w:ascii="Arial" w:eastAsia="Arial" w:hAnsi="Arial" w:cs="Arial"/>
          <w:b/>
        </w:rPr>
        <w:t xml:space="preserve">Ponente Coordinadora      </w:t>
      </w:r>
    </w:p>
    <w:p w:rsidR="00D35DC7" w:rsidRDefault="00D35DC7">
      <w:pPr>
        <w:spacing w:line="276" w:lineRule="auto"/>
        <w:jc w:val="both"/>
        <w:rPr>
          <w:rFonts w:ascii="Arial" w:eastAsia="Arial" w:hAnsi="Arial" w:cs="Arial"/>
        </w:rPr>
      </w:pPr>
    </w:p>
    <w:p w:rsidR="00D35DC7" w:rsidRDefault="00982954">
      <w:pPr>
        <w:spacing w:line="276" w:lineRule="auto"/>
        <w:jc w:val="both"/>
        <w:rPr>
          <w:rFonts w:ascii="Arial" w:eastAsia="Arial" w:hAnsi="Arial" w:cs="Arial"/>
        </w:rPr>
      </w:pPr>
      <w:r>
        <w:rPr>
          <w:rFonts w:ascii="Arial" w:eastAsia="Arial" w:hAnsi="Arial" w:cs="Arial"/>
        </w:rPr>
        <w:t xml:space="preserve"> </w:t>
      </w:r>
    </w:p>
    <w:p w:rsidR="00D35DC7" w:rsidRDefault="00D35DC7">
      <w:pPr>
        <w:spacing w:line="276" w:lineRule="auto"/>
        <w:jc w:val="both"/>
        <w:rPr>
          <w:rFonts w:ascii="Arial" w:eastAsia="Arial" w:hAnsi="Arial" w:cs="Arial"/>
        </w:rPr>
      </w:pPr>
    </w:p>
    <w:p w:rsidR="00D35DC7" w:rsidRDefault="00D35DC7">
      <w:pPr>
        <w:pStyle w:val="Ttulo2"/>
        <w:ind w:left="0"/>
        <w:jc w:val="center"/>
        <w:rPr>
          <w:i w:val="0"/>
          <w:sz w:val="28"/>
          <w:szCs w:val="28"/>
          <w:u w:val="none"/>
        </w:rPr>
      </w:pPr>
    </w:p>
    <w:p w:rsidR="00D35DC7" w:rsidRDefault="00D35DC7">
      <w:pPr>
        <w:pStyle w:val="Ttulo2"/>
        <w:ind w:left="0"/>
        <w:rPr>
          <w:i w:val="0"/>
          <w:sz w:val="28"/>
          <w:szCs w:val="28"/>
          <w:u w:val="none"/>
        </w:rPr>
      </w:pPr>
    </w:p>
    <w:p w:rsidR="00D35DC7" w:rsidRDefault="00D35DC7">
      <w:pPr>
        <w:pStyle w:val="Ttulo2"/>
        <w:ind w:left="0"/>
        <w:jc w:val="center"/>
        <w:rPr>
          <w:i w:val="0"/>
          <w:sz w:val="28"/>
          <w:szCs w:val="28"/>
          <w:u w:val="none"/>
        </w:rPr>
      </w:pPr>
    </w:p>
    <w:p w:rsidR="00D35DC7" w:rsidRDefault="00D35DC7">
      <w:pPr>
        <w:pStyle w:val="Ttulo2"/>
        <w:ind w:left="0"/>
        <w:jc w:val="center"/>
        <w:rPr>
          <w:i w:val="0"/>
          <w:sz w:val="28"/>
          <w:szCs w:val="28"/>
          <w:u w:val="none"/>
        </w:rPr>
      </w:pPr>
    </w:p>
    <w:p w:rsidR="00D35DC7" w:rsidRDefault="00982954">
      <w:pPr>
        <w:pStyle w:val="Ttulo2"/>
        <w:ind w:left="0"/>
        <w:jc w:val="center"/>
        <w:rPr>
          <w:i w:val="0"/>
          <w:sz w:val="28"/>
          <w:szCs w:val="28"/>
          <w:u w:val="none"/>
        </w:rPr>
      </w:pPr>
      <w:r>
        <w:rPr>
          <w:i w:val="0"/>
          <w:sz w:val="28"/>
          <w:szCs w:val="28"/>
          <w:u w:val="none"/>
        </w:rPr>
        <w:t>Ponencia Proyecto de Acuerdo N.º 368 de 2024</w:t>
      </w:r>
    </w:p>
    <w:p w:rsidR="00D35DC7" w:rsidRDefault="00D35DC7">
      <w:pPr>
        <w:pStyle w:val="Ttulo2"/>
        <w:ind w:left="0"/>
        <w:jc w:val="center"/>
        <w:rPr>
          <w:i w:val="0"/>
          <w:sz w:val="28"/>
          <w:szCs w:val="28"/>
          <w:u w:val="none"/>
        </w:rPr>
      </w:pPr>
    </w:p>
    <w:p w:rsidR="00D35DC7" w:rsidRDefault="00982954">
      <w:pPr>
        <w:pStyle w:val="Ttulo2"/>
        <w:ind w:left="0"/>
        <w:jc w:val="center"/>
        <w:rPr>
          <w:b w:val="0"/>
          <w:i w:val="0"/>
          <w:sz w:val="28"/>
          <w:szCs w:val="28"/>
          <w:u w:val="none"/>
        </w:rPr>
      </w:pPr>
      <w:bookmarkStart w:id="1" w:name="_heading=h.vev6uei4689i" w:colFirst="0" w:colLast="0"/>
      <w:bookmarkEnd w:id="1"/>
      <w:r>
        <w:rPr>
          <w:b w:val="0"/>
          <w:i w:val="0"/>
          <w:sz w:val="28"/>
          <w:szCs w:val="28"/>
          <w:u w:val="none"/>
        </w:rPr>
        <w:t>“POR MEDIO DEL CUAL SE ADOPTA EL PLAN DE DESARROLLO ECONÓMICO, SOCIAL, AMBIENTAL Y DE OBRAS PÚBLICAS DEL DISTRITO CAPITAL 2024-2027 BOGOTÁ CAMINA SEGURA”</w:t>
      </w:r>
    </w:p>
    <w:p w:rsidR="00D35DC7" w:rsidRDefault="00D35DC7">
      <w:pPr>
        <w:pStyle w:val="Ttulo2"/>
        <w:ind w:left="0"/>
        <w:jc w:val="center"/>
        <w:rPr>
          <w:b w:val="0"/>
          <w:i w:val="0"/>
          <w:sz w:val="28"/>
          <w:szCs w:val="28"/>
          <w:u w:val="none"/>
        </w:rPr>
      </w:pPr>
    </w:p>
    <w:p w:rsidR="00D35DC7" w:rsidRDefault="00D35DC7">
      <w:pPr>
        <w:pStyle w:val="Ttulo2"/>
        <w:ind w:left="0" w:right="49"/>
        <w:jc w:val="left"/>
        <w:rPr>
          <w:b w:val="0"/>
          <w:sz w:val="24"/>
          <w:szCs w:val="24"/>
          <w:u w:val="none"/>
        </w:rPr>
      </w:pPr>
    </w:p>
    <w:p w:rsidR="00D35DC7" w:rsidRDefault="00D35DC7">
      <w:pPr>
        <w:spacing w:line="276" w:lineRule="auto"/>
        <w:jc w:val="both"/>
        <w:rPr>
          <w:rFonts w:ascii="Arial" w:eastAsia="Arial" w:hAnsi="Arial" w:cs="Arial"/>
        </w:rPr>
      </w:pPr>
    </w:p>
    <w:p w:rsidR="00D35DC7" w:rsidRDefault="00982954">
      <w:pPr>
        <w:numPr>
          <w:ilvl w:val="0"/>
          <w:numId w:val="6"/>
        </w:numPr>
        <w:pBdr>
          <w:top w:val="nil"/>
          <w:left w:val="nil"/>
          <w:bottom w:val="nil"/>
          <w:right w:val="nil"/>
          <w:between w:val="nil"/>
        </w:pBdr>
        <w:spacing w:line="276" w:lineRule="auto"/>
        <w:jc w:val="center"/>
        <w:rPr>
          <w:rFonts w:ascii="Arial" w:eastAsia="Arial" w:hAnsi="Arial" w:cs="Arial"/>
          <w:b/>
          <w:color w:val="000000"/>
        </w:rPr>
      </w:pPr>
      <w:r>
        <w:rPr>
          <w:rFonts w:ascii="Arial" w:eastAsia="Arial" w:hAnsi="Arial" w:cs="Arial"/>
          <w:b/>
          <w:color w:val="000000"/>
        </w:rPr>
        <w:t>INTRODUCCIÓN</w:t>
      </w:r>
    </w:p>
    <w:p w:rsidR="00D35DC7" w:rsidRDefault="00D35DC7">
      <w:pPr>
        <w:spacing w:line="276" w:lineRule="auto"/>
        <w:jc w:val="both"/>
        <w:rPr>
          <w:rFonts w:ascii="Arial" w:eastAsia="Arial" w:hAnsi="Arial" w:cs="Arial"/>
        </w:rPr>
      </w:pPr>
    </w:p>
    <w:p w:rsidR="00D35DC7" w:rsidRDefault="00982954">
      <w:pPr>
        <w:spacing w:line="360" w:lineRule="auto"/>
        <w:jc w:val="both"/>
        <w:rPr>
          <w:rFonts w:ascii="Arial" w:eastAsia="Arial" w:hAnsi="Arial" w:cs="Arial"/>
        </w:rPr>
      </w:pPr>
      <w:r>
        <w:rPr>
          <w:rFonts w:ascii="Arial" w:eastAsia="Arial" w:hAnsi="Arial" w:cs="Arial"/>
        </w:rPr>
        <w:t>En el presente documento se rendirá ponencia del Proyecto de Acuerdo N.º 368                              de 2024, “Por medio del cual se adopta el plan de desarrollo económico, social, ambiental y de obras públicas del Distrito Capital 2024-2027 Bogotá camina segura”, no sin antes hacer precisión que el Plan de Desarrollo es una herramienta de gestión y planeación que promueve el desarrollo social en nuestra ciudad. Donde se establecen las bases, programas y metas para atender las necesidades y mejorar la calidad de vida de todos los ciudadanos y la vida animal.</w:t>
      </w:r>
    </w:p>
    <w:p w:rsidR="00D35DC7" w:rsidRDefault="00D35DC7">
      <w:pPr>
        <w:spacing w:line="360" w:lineRule="auto"/>
        <w:jc w:val="both"/>
        <w:rPr>
          <w:rFonts w:ascii="Arial" w:eastAsia="Arial" w:hAnsi="Arial" w:cs="Arial"/>
        </w:rPr>
      </w:pPr>
    </w:p>
    <w:p w:rsidR="00D35DC7" w:rsidRDefault="00982954">
      <w:pPr>
        <w:spacing w:line="360" w:lineRule="auto"/>
        <w:jc w:val="both"/>
        <w:rPr>
          <w:rFonts w:ascii="Arial" w:eastAsia="Arial" w:hAnsi="Arial" w:cs="Arial"/>
        </w:rPr>
      </w:pPr>
      <w:r>
        <w:rPr>
          <w:rFonts w:ascii="Arial" w:eastAsia="Arial" w:hAnsi="Arial" w:cs="Arial"/>
        </w:rPr>
        <w:t>El Plan de Desarrollo como está formulado plantea una nueva visión de ciudad, más segura, amable y con mayor oferta de empleo y servicios para los ciudadanos, una ciudad especialmente para que las mujeres se sientan más seguras en sus desplazamientos sin temor al accionar delincuencial.</w:t>
      </w:r>
    </w:p>
    <w:p w:rsidR="00D35DC7" w:rsidRDefault="00D35DC7">
      <w:pPr>
        <w:spacing w:line="360" w:lineRule="auto"/>
        <w:jc w:val="both"/>
        <w:rPr>
          <w:rFonts w:ascii="Arial" w:eastAsia="Arial" w:hAnsi="Arial" w:cs="Arial"/>
        </w:rPr>
      </w:pPr>
    </w:p>
    <w:p w:rsidR="00D35DC7" w:rsidRDefault="00982954">
      <w:pPr>
        <w:spacing w:line="360" w:lineRule="auto"/>
        <w:jc w:val="both"/>
        <w:rPr>
          <w:rFonts w:ascii="Arial" w:eastAsia="Arial" w:hAnsi="Arial" w:cs="Arial"/>
        </w:rPr>
      </w:pPr>
      <w:r>
        <w:rPr>
          <w:rFonts w:ascii="Arial" w:eastAsia="Arial" w:hAnsi="Arial" w:cs="Arial"/>
        </w:rPr>
        <w:t xml:space="preserve">Bogotá debe ser una ciudad generadora de empleo, competitiva y amable, que a través de la confianza en sus instituciones y seguridad para los ciudadanos, podamos avanzar hacia el mismo propósito, una ciudad donde todos disfrutemos de nuestros parques, alamedas y demás espacios verdes que nos ofrece la capital, </w:t>
      </w:r>
      <w:r>
        <w:rPr>
          <w:rFonts w:ascii="Arial" w:eastAsia="Arial" w:hAnsi="Arial" w:cs="Arial"/>
        </w:rPr>
        <w:lastRenderedPageBreak/>
        <w:t>donde caminemos tranquilos, sin desconfiar de nuestros prójimo y podamos disfrutar con nuestras familias los atractivos de Bogotá.</w:t>
      </w:r>
    </w:p>
    <w:p w:rsidR="00D35DC7" w:rsidRDefault="00982954">
      <w:pPr>
        <w:spacing w:before="240" w:after="240" w:line="360" w:lineRule="auto"/>
        <w:jc w:val="both"/>
        <w:rPr>
          <w:rFonts w:ascii="Arial" w:eastAsia="Arial" w:hAnsi="Arial" w:cs="Arial"/>
        </w:rPr>
      </w:pPr>
      <w:r>
        <w:rPr>
          <w:rFonts w:ascii="Arial" w:eastAsia="Arial" w:hAnsi="Arial" w:cs="Arial"/>
        </w:rPr>
        <w:t>El plan de desarrollo "Bogotá camina segura" nos invita a construir una ciudad donde queremos estar.  "Todos queremos una ciudad próspera, que avance hacia el futuro, y en la cual haya condiciones favorables para levantar familias y empresas."</w:t>
      </w:r>
    </w:p>
    <w:p w:rsidR="00D35DC7" w:rsidRDefault="00982954">
      <w:pPr>
        <w:spacing w:before="240" w:after="240" w:line="360" w:lineRule="auto"/>
        <w:jc w:val="both"/>
        <w:rPr>
          <w:rFonts w:ascii="Arial" w:eastAsia="Arial" w:hAnsi="Arial" w:cs="Arial"/>
        </w:rPr>
      </w:pPr>
      <w:r>
        <w:rPr>
          <w:rFonts w:ascii="Arial" w:eastAsia="Arial" w:hAnsi="Arial" w:cs="Arial"/>
        </w:rPr>
        <w:t>Este plan, no se queda en una visión de 4 años, es un cambio de estrategia capaz de recoger la opinión y visión de todos, y por eso es el inicio para que entre todos, comencemos a construir la ciudad del bien-estar y la igualdad de oportunidades.</w:t>
      </w:r>
    </w:p>
    <w:p w:rsidR="00D35DC7" w:rsidRDefault="00982954">
      <w:pPr>
        <w:spacing w:before="240" w:after="240" w:line="360" w:lineRule="auto"/>
        <w:jc w:val="both"/>
        <w:rPr>
          <w:rFonts w:ascii="Arial" w:eastAsia="Arial" w:hAnsi="Arial" w:cs="Arial"/>
        </w:rPr>
      </w:pPr>
      <w:r>
        <w:rPr>
          <w:rFonts w:ascii="Arial" w:eastAsia="Arial" w:hAnsi="Arial" w:cs="Arial"/>
        </w:rPr>
        <w:t>Para caminar en esta senda, el elemento clave es su gobierno y la forma como todos nos relacionamos. "Bogotá merece ser una ciudad con un gobierno que resuelva problemas, en vez de crearlos, y a eso le apostaremos con la ponencia."</w:t>
      </w:r>
    </w:p>
    <w:p w:rsidR="00D35DC7" w:rsidRDefault="00982954">
      <w:pPr>
        <w:spacing w:before="240" w:after="240" w:line="360" w:lineRule="auto"/>
        <w:jc w:val="both"/>
        <w:rPr>
          <w:rFonts w:ascii="Arial" w:eastAsia="Arial" w:hAnsi="Arial" w:cs="Arial"/>
        </w:rPr>
      </w:pPr>
      <w:r>
        <w:rPr>
          <w:rFonts w:ascii="Arial" w:eastAsia="Arial" w:hAnsi="Arial" w:cs="Arial"/>
        </w:rPr>
        <w:t xml:space="preserve">El centro de su visión es la confianza, Bogotá es y debe ser una ciudad donde todos podamos creer y confiar en el prójimo, las instituciones y la sociedad. </w:t>
      </w:r>
      <w:r>
        <w:rPr>
          <w:rFonts w:ascii="Roboto" w:eastAsia="Roboto" w:hAnsi="Roboto" w:cs="Roboto"/>
          <w:color w:val="0D0D0D"/>
          <w:highlight w:val="white"/>
        </w:rPr>
        <w:t>Un lugar donde podamos ser auténticos, se proteja todas las formas de vida y se ordene su territorio de manera sostenible, equilibrada y participativa.</w:t>
      </w:r>
    </w:p>
    <w:p w:rsidR="00D35DC7" w:rsidRDefault="00982954">
      <w:pPr>
        <w:spacing w:before="240" w:after="240" w:line="360" w:lineRule="auto"/>
        <w:jc w:val="both"/>
        <w:rPr>
          <w:rFonts w:ascii="Arial" w:eastAsia="Arial" w:hAnsi="Arial" w:cs="Arial"/>
        </w:rPr>
      </w:pPr>
      <w:r>
        <w:rPr>
          <w:rFonts w:ascii="Arial" w:eastAsia="Arial" w:hAnsi="Arial" w:cs="Arial"/>
        </w:rPr>
        <w:t>Por lo anterior, frente al trámite y estudio por parte de la Corporación no sobra decir que es una obligación de rango constitucional y legal. Nuestra carta política establece que las entidades territoriales elaborarán y adoptarán de manera concertada entre ellas y el gobierno nacional, planes de desarrollo, con el objeto de asegurar el uso eficiente de sus recursos y el desempeño adecuado de las funciones que les hayan sido asignadas por la Constitución y la ley. Los planes de las entidades territoriales estarán conformados por una parte estratégica y un plan de inversiones de mediano y corto plazo.</w:t>
      </w:r>
    </w:p>
    <w:p w:rsidR="00D35DC7" w:rsidRDefault="00D35DC7">
      <w:pPr>
        <w:spacing w:line="360" w:lineRule="auto"/>
        <w:jc w:val="both"/>
        <w:rPr>
          <w:rFonts w:ascii="Arial" w:eastAsia="Arial" w:hAnsi="Arial" w:cs="Arial"/>
        </w:rPr>
      </w:pPr>
    </w:p>
    <w:p w:rsidR="00D35DC7" w:rsidRDefault="00982954">
      <w:pPr>
        <w:spacing w:line="360" w:lineRule="auto"/>
        <w:jc w:val="both"/>
        <w:rPr>
          <w:rFonts w:ascii="Arial" w:eastAsia="Arial" w:hAnsi="Arial" w:cs="Arial"/>
        </w:rPr>
      </w:pPr>
      <w:r>
        <w:rPr>
          <w:rFonts w:ascii="Arial" w:eastAsia="Arial" w:hAnsi="Arial" w:cs="Arial"/>
        </w:rPr>
        <w:t>Igualmente, es deber de esta corporación adoptar el correspondiente plan y programas de desarrollo económico y social y de obras públicas, como se encuentra establecido en nuestra carta, al igual que en el Decreto Ley 1421 de 1993, el cual establece que le corresponde al Concejo Adoptar el Plan General de Desarrollo Económico y Social y de Obras Públicas. El plan de inversiones, que hace parte del Plan General de Desarrollo, contendrá los presupuestos plurianuales de los principales programas y proyectos y la determinación de los recursos financieros requeridos para su ejecución.</w:t>
      </w:r>
    </w:p>
    <w:p w:rsidR="00D35DC7" w:rsidRDefault="00D35DC7">
      <w:pPr>
        <w:spacing w:line="360" w:lineRule="auto"/>
        <w:jc w:val="both"/>
        <w:rPr>
          <w:rFonts w:ascii="Arial" w:eastAsia="Arial" w:hAnsi="Arial" w:cs="Arial"/>
        </w:rPr>
      </w:pPr>
    </w:p>
    <w:p w:rsidR="00D35DC7" w:rsidRDefault="00982954">
      <w:pPr>
        <w:spacing w:line="360" w:lineRule="auto"/>
        <w:jc w:val="both"/>
        <w:rPr>
          <w:rFonts w:ascii="Arial" w:eastAsia="Arial" w:hAnsi="Arial" w:cs="Arial"/>
          <w:highlight w:val="white"/>
        </w:rPr>
      </w:pPr>
      <w:r>
        <w:rPr>
          <w:rFonts w:ascii="Arial" w:eastAsia="Arial" w:hAnsi="Arial" w:cs="Arial"/>
        </w:rPr>
        <w:t>Además de tener en cuenta las anteriores normas, es un deber de las autoridades promover activamente la participación ciudadana que se pueda ver afectada en la vida económica, política, administrativa y cultural de la ciudad en cumplimiento del artículo 2 de nuestra Constitución. En este sentido, conforme a la Ley 850 de 2023, donde se reglamenta el ejercicio de las veedurías ciudadanas y se le da especial importancia a la vigilancia sobre la gestión pública y la correcta aplicación de los recursos públicos, de acuerdo con</w:t>
      </w:r>
      <w:r>
        <w:rPr>
          <w:rFonts w:ascii="Arial" w:eastAsia="Arial" w:hAnsi="Arial" w:cs="Arial"/>
          <w:highlight w:val="white"/>
        </w:rPr>
        <w:t xml:space="preserve"> las disposiciones legales y los planes, programas, y proyectos debidamente aprobados. Así, deben ser atendidos los preceptos antes mencionados, la calidad, oportunidad y efectividad de las intervenciones públicas, la contratación pública y la diligencia de las diversas autoridades en garantizar los objetivos del Estado en las distintas áreas de gestión que se les ha encomendado</w:t>
      </w:r>
      <w:r>
        <w:rPr>
          <w:rFonts w:ascii="Arial" w:eastAsia="Arial" w:hAnsi="Arial" w:cs="Arial"/>
          <w:highlight w:val="white"/>
          <w:vertAlign w:val="superscript"/>
        </w:rPr>
        <w:footnoteReference w:id="1"/>
      </w:r>
    </w:p>
    <w:p w:rsidR="00D35DC7" w:rsidRDefault="00D35DC7">
      <w:pPr>
        <w:spacing w:line="360" w:lineRule="auto"/>
        <w:jc w:val="both"/>
        <w:rPr>
          <w:rFonts w:ascii="Arial" w:eastAsia="Arial" w:hAnsi="Arial" w:cs="Arial"/>
        </w:rPr>
      </w:pPr>
    </w:p>
    <w:p w:rsidR="00D35DC7" w:rsidRDefault="00982954">
      <w:pPr>
        <w:spacing w:line="360" w:lineRule="auto"/>
        <w:jc w:val="both"/>
        <w:rPr>
          <w:rFonts w:ascii="Arial" w:eastAsia="Arial" w:hAnsi="Arial" w:cs="Arial"/>
        </w:rPr>
      </w:pPr>
      <w:r>
        <w:rPr>
          <w:rFonts w:ascii="Arial" w:eastAsia="Arial" w:hAnsi="Arial" w:cs="Arial"/>
        </w:rPr>
        <w:t>Aunado a lo anterior el Plan de Desarrollo como instrumento de gestión  fundamental para la ciudad y como herramienta que debe de promover la participación de toda la comunidad, para  acordar entre los Bogotanos y el Gobierno Distrital la inversión y ejecución de los recursos, construcción y formulación de políticas, planes y proyectos que beneficien las comunidades de Bogotá, desde los espacios de participación se puede  incidir para que la inversión tenga prioridad en el gasto público social,  y así cumplir con el mandato legal del artículo tercero de la ley 152 de 1994, el cual ordena que para asegurar la consolidación progresiva del bienestar general y el mejoramiento de la calidad de vida de la población, en la elaboración, aprobación y ejecución de los planes de desarrollo de la nación y de las entidades territoriales.  Se deberá tener  como criterio especial en la distribución territorial del gasto público el número de personas con necesidades básicas insatisfechas, la población y la eficiencia fiscal y administrativa, y que el gasto público social tenga  prioridad sobre cualquier otra asignación.</w:t>
      </w:r>
    </w:p>
    <w:p w:rsidR="00D35DC7" w:rsidRDefault="00D35DC7">
      <w:pPr>
        <w:spacing w:line="360" w:lineRule="auto"/>
        <w:jc w:val="both"/>
        <w:rPr>
          <w:rFonts w:ascii="Arial" w:eastAsia="Arial" w:hAnsi="Arial" w:cs="Arial"/>
        </w:rPr>
      </w:pPr>
    </w:p>
    <w:p w:rsidR="00D35DC7" w:rsidRDefault="00982954">
      <w:pPr>
        <w:spacing w:line="360" w:lineRule="auto"/>
        <w:jc w:val="both"/>
        <w:rPr>
          <w:rFonts w:ascii="Arial" w:eastAsia="Arial" w:hAnsi="Arial" w:cs="Arial"/>
        </w:rPr>
      </w:pPr>
      <w:r>
        <w:rPr>
          <w:rFonts w:ascii="Arial" w:eastAsia="Arial" w:hAnsi="Arial" w:cs="Arial"/>
        </w:rPr>
        <w:t>Igualmente, el Acuerdo Distrital 878 de 2023 por medio del cual se dictan lineamientos para el Sistema Distrital de Planeación y la creación de planes de desarrollo, se garantiza la participación ciudadana en el Distrito Capital y se dictan otras disposiciones, estableciendo dentro de sus objetivos garantizar una participación ciudadana de los diferentes actores sociales de manera inclusiva e incluyente que logre representar la diversidad de Bogotá como Distrito Capital.</w:t>
      </w:r>
    </w:p>
    <w:p w:rsidR="00D35DC7" w:rsidRDefault="00D35DC7">
      <w:pPr>
        <w:spacing w:line="360" w:lineRule="auto"/>
        <w:jc w:val="both"/>
        <w:rPr>
          <w:rFonts w:ascii="Arial" w:eastAsia="Arial" w:hAnsi="Arial" w:cs="Arial"/>
        </w:rPr>
      </w:pPr>
    </w:p>
    <w:p w:rsidR="00D35DC7" w:rsidRDefault="00982954">
      <w:pPr>
        <w:spacing w:line="360" w:lineRule="auto"/>
        <w:jc w:val="both"/>
        <w:rPr>
          <w:rFonts w:ascii="Arial" w:eastAsia="Arial" w:hAnsi="Arial" w:cs="Arial"/>
        </w:rPr>
      </w:pPr>
      <w:r>
        <w:rPr>
          <w:rFonts w:ascii="Arial" w:eastAsia="Arial" w:hAnsi="Arial" w:cs="Arial"/>
        </w:rPr>
        <w:t>También le asigna a la Secretaría Distrital de Planeación la coordinación del Sistema Distrital de Planeación como máxima entidad responsable de la planeación en el Distrito Capital. Para ejercer la coordinación del Sistema, deberá velar por promover la participación ciudadana en cada uno de los componentes estratégicos del Sistema y elaborar las herramientas metodológicas accesibles para la recopilación y sistematización de los aportes e iniciativas ciudadanas.</w:t>
      </w:r>
    </w:p>
    <w:p w:rsidR="00D35DC7" w:rsidRDefault="00D35DC7">
      <w:pPr>
        <w:spacing w:line="360" w:lineRule="auto"/>
        <w:jc w:val="both"/>
        <w:rPr>
          <w:rFonts w:ascii="Arial" w:eastAsia="Arial" w:hAnsi="Arial" w:cs="Arial"/>
        </w:rPr>
      </w:pPr>
    </w:p>
    <w:p w:rsidR="00D35DC7" w:rsidRDefault="00982954">
      <w:pPr>
        <w:spacing w:line="360" w:lineRule="auto"/>
        <w:jc w:val="both"/>
        <w:rPr>
          <w:rFonts w:ascii="Arial" w:eastAsia="Arial" w:hAnsi="Arial" w:cs="Arial"/>
        </w:rPr>
      </w:pPr>
      <w:r>
        <w:rPr>
          <w:rFonts w:ascii="Arial" w:eastAsia="Arial" w:hAnsi="Arial" w:cs="Arial"/>
        </w:rPr>
        <w:t>Al igual que en la instancia de participación local, la administración a nivel distrital debe realizar encuentros ciudadanos como un espacio de participación ciudadana encaminado a brindar la oportunidad para que la ciudadanía, en diálogo y concertación con las autoridades y la instancia de planeación, definan los problemas, aportes y propuestas que serán tenidas en cuenta en la definición final de los objetivos y metas coherentes, alcanzables y necesarias que se establecerán en el Plan Desarrollo.</w:t>
      </w:r>
    </w:p>
    <w:p w:rsidR="00D35DC7" w:rsidRDefault="00D35DC7">
      <w:pPr>
        <w:spacing w:line="360" w:lineRule="auto"/>
        <w:jc w:val="both"/>
        <w:rPr>
          <w:rFonts w:ascii="Arial" w:eastAsia="Arial" w:hAnsi="Arial" w:cs="Arial"/>
        </w:rPr>
      </w:pPr>
    </w:p>
    <w:p w:rsidR="00D35DC7" w:rsidRDefault="00982954">
      <w:pPr>
        <w:spacing w:line="360" w:lineRule="auto"/>
        <w:jc w:val="both"/>
        <w:rPr>
          <w:rFonts w:ascii="Arial" w:eastAsia="Arial" w:hAnsi="Arial" w:cs="Arial"/>
        </w:rPr>
      </w:pPr>
      <w:r>
        <w:rPr>
          <w:rFonts w:ascii="Arial" w:eastAsia="Arial" w:hAnsi="Arial" w:cs="Arial"/>
        </w:rPr>
        <w:t>Por estas razones haré especial énfasis en esta ponencia sobre la convocatoria, resultados, los medios y métodos utilizados por la administración durante la formulación del presente plan de desarrollo, para promover una participación ciudadana más incluyente, efectiva e incidente en las decisiones de ciudad.</w:t>
      </w:r>
    </w:p>
    <w:p w:rsidR="00D35DC7" w:rsidRDefault="00D35DC7">
      <w:pPr>
        <w:spacing w:line="360" w:lineRule="auto"/>
        <w:jc w:val="both"/>
        <w:rPr>
          <w:rFonts w:ascii="Arial" w:eastAsia="Arial" w:hAnsi="Arial" w:cs="Arial"/>
        </w:rPr>
      </w:pPr>
    </w:p>
    <w:p w:rsidR="00D35DC7" w:rsidRDefault="00D35DC7">
      <w:pPr>
        <w:spacing w:line="276" w:lineRule="auto"/>
        <w:jc w:val="both"/>
        <w:rPr>
          <w:rFonts w:ascii="Arial" w:eastAsia="Arial" w:hAnsi="Arial" w:cs="Arial"/>
        </w:rPr>
      </w:pPr>
    </w:p>
    <w:p w:rsidR="00D35DC7" w:rsidRDefault="00982954">
      <w:pPr>
        <w:numPr>
          <w:ilvl w:val="0"/>
          <w:numId w:val="6"/>
        </w:numPr>
        <w:pBdr>
          <w:top w:val="nil"/>
          <w:left w:val="nil"/>
          <w:bottom w:val="nil"/>
          <w:right w:val="nil"/>
          <w:between w:val="nil"/>
        </w:pBdr>
        <w:spacing w:line="360" w:lineRule="auto"/>
        <w:jc w:val="center"/>
        <w:rPr>
          <w:rFonts w:ascii="Arial" w:eastAsia="Arial" w:hAnsi="Arial" w:cs="Arial"/>
          <w:b/>
          <w:color w:val="000000"/>
        </w:rPr>
      </w:pPr>
      <w:r>
        <w:rPr>
          <w:rFonts w:ascii="Arial" w:eastAsia="Arial" w:hAnsi="Arial" w:cs="Arial"/>
          <w:b/>
          <w:color w:val="000000"/>
        </w:rPr>
        <w:t>OBJETO DEL PROYECTO</w:t>
      </w:r>
    </w:p>
    <w:p w:rsidR="00D35DC7" w:rsidRDefault="00D35DC7">
      <w:pPr>
        <w:spacing w:line="360" w:lineRule="auto"/>
        <w:rPr>
          <w:rFonts w:ascii="Arial" w:eastAsia="Arial" w:hAnsi="Arial" w:cs="Arial"/>
          <w:b/>
        </w:rPr>
      </w:pPr>
    </w:p>
    <w:p w:rsidR="00D35DC7" w:rsidRDefault="00982954">
      <w:pPr>
        <w:spacing w:line="360" w:lineRule="auto"/>
        <w:jc w:val="both"/>
        <w:rPr>
          <w:rFonts w:ascii="Arial" w:eastAsia="Arial" w:hAnsi="Arial" w:cs="Arial"/>
        </w:rPr>
      </w:pPr>
      <w:r>
        <w:rPr>
          <w:rFonts w:ascii="Arial" w:eastAsia="Arial" w:hAnsi="Arial" w:cs="Arial"/>
        </w:rPr>
        <w:t>El texto radicado del Proyecto de Acuerdo No 368 de 2024, tiene por objeto la adopción del plan de desarrollo económico, social, ambiental y de obras públicas del Distrito Capital 2024-2027 “Bogotá camina segura”. Como el instrumento por el cual se vinculará y armonizará, la planeación nacional, regional y departamental, en el nivel Distrital. El Plan Distrital de Desarrollo respecto a los planes de departamentos, municipios y el Plan Nacional, tendrá en cuenta las políticas, estrategias y programas que son de interés mutuo y les dan coherencia a las acciones gubernamentales, artículo 42 del Acuerdo 878 de 2023.</w:t>
      </w:r>
    </w:p>
    <w:p w:rsidR="00D35DC7" w:rsidRDefault="00D35DC7">
      <w:pPr>
        <w:spacing w:line="360" w:lineRule="auto"/>
        <w:jc w:val="both"/>
        <w:rPr>
          <w:rFonts w:ascii="Arial" w:eastAsia="Arial" w:hAnsi="Arial" w:cs="Arial"/>
        </w:rPr>
      </w:pPr>
    </w:p>
    <w:p w:rsidR="00D35DC7" w:rsidRDefault="00982954">
      <w:pPr>
        <w:spacing w:line="360" w:lineRule="auto"/>
        <w:jc w:val="both"/>
        <w:rPr>
          <w:rFonts w:ascii="Arial" w:eastAsia="Arial" w:hAnsi="Arial" w:cs="Arial"/>
        </w:rPr>
      </w:pPr>
      <w:r>
        <w:rPr>
          <w:rFonts w:ascii="Arial" w:eastAsia="Arial" w:hAnsi="Arial" w:cs="Arial"/>
        </w:rPr>
        <w:t>El texto puesto a consideración del Concejo de la ciudad debe ser estudiado por la corporación durante las sesiones ordinarias del mes de mayo, como se encuentra establecido en el artículo 48 de la norma citada, la cual exige que para su aprobación, debe ser sometido a la consideración del Concejo de Bogotá dentro de los primeros cuatro (4) meses del período del Alcalde(sa) para su aprobación. El Concejo deberá decidir sobre el Plan dentro del mes siguiente a su presentación, y si transcurriese ese lapso sin adoptar decisión alguna, el Alcalde(sa) podrá adoptarlo mediante Decreto. Para este efecto, y si a ello hubiere lugar, el Alcalde(sa) podrá convocar a sesiones extraordinarias del Concejo Distrital. Toda modificación que pretenda introducir el Concejo debe contar con la aceptación previa y por escrito del Alcalde(sa).</w:t>
      </w:r>
    </w:p>
    <w:p w:rsidR="00D35DC7" w:rsidRDefault="00D35DC7">
      <w:pPr>
        <w:spacing w:line="360" w:lineRule="auto"/>
        <w:jc w:val="both"/>
        <w:rPr>
          <w:rFonts w:ascii="Arial" w:eastAsia="Arial" w:hAnsi="Arial" w:cs="Arial"/>
        </w:rPr>
      </w:pPr>
    </w:p>
    <w:p w:rsidR="00D35DC7" w:rsidRDefault="00982954">
      <w:pPr>
        <w:spacing w:line="360" w:lineRule="auto"/>
        <w:jc w:val="both"/>
        <w:rPr>
          <w:rFonts w:ascii="Arial" w:eastAsia="Arial" w:hAnsi="Arial" w:cs="Arial"/>
        </w:rPr>
      </w:pPr>
      <w:r>
        <w:rPr>
          <w:rFonts w:ascii="Arial" w:eastAsia="Arial" w:hAnsi="Arial" w:cs="Arial"/>
        </w:rPr>
        <w:t>El Plan de Desarrollo presentado a la Corporación “Bogotá Camina Segura”, busca mejorar la calidad de vida de las personas y los animales, garantizándoles protección, una mayor seguridad, inclusión, libertad, igualdad de oportunidades y un acceso más justo a bienes y servicios públicos, según se desprende del objetivo presentado por la administración.</w:t>
      </w:r>
    </w:p>
    <w:p w:rsidR="00D35DC7" w:rsidRDefault="00D35DC7">
      <w:pPr>
        <w:spacing w:line="360" w:lineRule="auto"/>
        <w:jc w:val="both"/>
        <w:rPr>
          <w:rFonts w:ascii="Arial" w:eastAsia="Arial" w:hAnsi="Arial" w:cs="Arial"/>
        </w:rPr>
      </w:pPr>
    </w:p>
    <w:p w:rsidR="00D35DC7" w:rsidRDefault="00982954">
      <w:pPr>
        <w:spacing w:line="360" w:lineRule="auto"/>
        <w:jc w:val="both"/>
        <w:rPr>
          <w:rFonts w:ascii="Arial" w:eastAsia="Arial" w:hAnsi="Arial" w:cs="Arial"/>
        </w:rPr>
      </w:pPr>
      <w:r>
        <w:rPr>
          <w:rFonts w:ascii="Arial" w:eastAsia="Arial" w:hAnsi="Arial" w:cs="Arial"/>
        </w:rPr>
        <w:t>El documento radicado contiene para el estudio de los Concejales cinco objetivos enunciados en el siguiente orden:</w:t>
      </w:r>
    </w:p>
    <w:p w:rsidR="00D35DC7" w:rsidRDefault="00982954">
      <w:pPr>
        <w:spacing w:line="360" w:lineRule="auto"/>
        <w:jc w:val="both"/>
        <w:rPr>
          <w:rFonts w:ascii="Arial" w:eastAsia="Arial" w:hAnsi="Arial" w:cs="Arial"/>
        </w:rPr>
      </w:pPr>
      <w:r>
        <w:rPr>
          <w:rFonts w:ascii="Arial" w:eastAsia="Arial" w:hAnsi="Arial" w:cs="Arial"/>
        </w:rPr>
        <w:t>1. Bogotá avanza en seguridad: contiene 6 programas</w:t>
      </w:r>
    </w:p>
    <w:p w:rsidR="00D35DC7" w:rsidRDefault="00982954">
      <w:pPr>
        <w:spacing w:line="360" w:lineRule="auto"/>
        <w:jc w:val="both"/>
        <w:rPr>
          <w:rFonts w:ascii="Arial" w:eastAsia="Arial" w:hAnsi="Arial" w:cs="Arial"/>
        </w:rPr>
      </w:pPr>
      <w:r>
        <w:rPr>
          <w:rFonts w:ascii="Arial" w:eastAsia="Arial" w:hAnsi="Arial" w:cs="Arial"/>
        </w:rPr>
        <w:t>2. Bogotá confía en su bien – estar: contiene 9 programas</w:t>
      </w:r>
    </w:p>
    <w:p w:rsidR="00D35DC7" w:rsidRDefault="00982954">
      <w:pPr>
        <w:spacing w:line="360" w:lineRule="auto"/>
        <w:jc w:val="both"/>
        <w:rPr>
          <w:rFonts w:ascii="Arial" w:eastAsia="Arial" w:hAnsi="Arial" w:cs="Arial"/>
        </w:rPr>
      </w:pPr>
      <w:r>
        <w:rPr>
          <w:rFonts w:ascii="Arial" w:eastAsia="Arial" w:hAnsi="Arial" w:cs="Arial"/>
        </w:rPr>
        <w:t>3. Bogotá confía en su potencial: contiene 7 programas</w:t>
      </w:r>
    </w:p>
    <w:p w:rsidR="00D35DC7" w:rsidRDefault="00982954">
      <w:pPr>
        <w:spacing w:line="360" w:lineRule="auto"/>
        <w:jc w:val="both"/>
        <w:rPr>
          <w:rFonts w:ascii="Arial" w:eastAsia="Arial" w:hAnsi="Arial" w:cs="Arial"/>
        </w:rPr>
      </w:pPr>
      <w:r>
        <w:rPr>
          <w:rFonts w:ascii="Arial" w:eastAsia="Arial" w:hAnsi="Arial" w:cs="Arial"/>
        </w:rPr>
        <w:t>4. Bogotá ordena su territorio y avanza en su acción climática, justicia ambiental e integración regional:  contiene 9 programas</w:t>
      </w:r>
    </w:p>
    <w:p w:rsidR="00D35DC7" w:rsidRDefault="00982954">
      <w:pPr>
        <w:spacing w:line="360" w:lineRule="auto"/>
        <w:jc w:val="both"/>
        <w:rPr>
          <w:rFonts w:ascii="Arial" w:eastAsia="Arial" w:hAnsi="Arial" w:cs="Arial"/>
        </w:rPr>
      </w:pPr>
      <w:r>
        <w:rPr>
          <w:rFonts w:ascii="Arial" w:eastAsia="Arial" w:hAnsi="Arial" w:cs="Arial"/>
        </w:rPr>
        <w:t>5. Bogotá confía en su gobierno: contiene 8 programas.</w:t>
      </w:r>
    </w:p>
    <w:p w:rsidR="00D35DC7" w:rsidRDefault="00D35DC7">
      <w:pPr>
        <w:spacing w:line="360" w:lineRule="auto"/>
        <w:jc w:val="both"/>
        <w:rPr>
          <w:rFonts w:ascii="Arial" w:eastAsia="Arial" w:hAnsi="Arial" w:cs="Arial"/>
        </w:rPr>
      </w:pPr>
    </w:p>
    <w:p w:rsidR="00D35DC7" w:rsidRDefault="00982954">
      <w:pPr>
        <w:spacing w:line="360" w:lineRule="auto"/>
        <w:jc w:val="both"/>
        <w:rPr>
          <w:rFonts w:ascii="Arial" w:eastAsia="Arial" w:hAnsi="Arial" w:cs="Arial"/>
        </w:rPr>
      </w:pPr>
      <w:r>
        <w:rPr>
          <w:rFonts w:ascii="Arial" w:eastAsia="Arial" w:hAnsi="Arial" w:cs="Arial"/>
        </w:rPr>
        <w:t>En total son 5 objetivos, 39 programas, 70 metas estratégicas y 401 metas de producto, igualmente contiene la lista de proyectos priorizados del Plan de Ordenamiento Territorial y en las iniciativas susceptibles de financiación por el sistema general de regalías.</w:t>
      </w:r>
    </w:p>
    <w:p w:rsidR="00D35DC7" w:rsidRDefault="00982954">
      <w:pPr>
        <w:spacing w:line="360" w:lineRule="auto"/>
        <w:jc w:val="both"/>
        <w:rPr>
          <w:rFonts w:ascii="Arial" w:eastAsia="Arial" w:hAnsi="Arial" w:cs="Arial"/>
        </w:rPr>
      </w:pPr>
      <w:r>
        <w:rPr>
          <w:rFonts w:ascii="Arial" w:eastAsia="Arial" w:hAnsi="Arial" w:cs="Arial"/>
        </w:rPr>
        <w:t xml:space="preserve"> </w:t>
      </w:r>
    </w:p>
    <w:p w:rsidR="00D35DC7" w:rsidRDefault="00D35DC7">
      <w:pPr>
        <w:spacing w:line="360" w:lineRule="auto"/>
        <w:jc w:val="both"/>
        <w:rPr>
          <w:rFonts w:ascii="Arial" w:eastAsia="Arial" w:hAnsi="Arial" w:cs="Arial"/>
        </w:rPr>
      </w:pPr>
    </w:p>
    <w:p w:rsidR="00D35DC7" w:rsidRDefault="00D35DC7">
      <w:pPr>
        <w:spacing w:line="360" w:lineRule="auto"/>
        <w:jc w:val="both"/>
        <w:rPr>
          <w:rFonts w:ascii="Arial" w:eastAsia="Arial" w:hAnsi="Arial" w:cs="Arial"/>
          <w:b/>
        </w:rPr>
      </w:pPr>
    </w:p>
    <w:p w:rsidR="00D35DC7" w:rsidRDefault="00982954">
      <w:pPr>
        <w:jc w:val="center"/>
        <w:rPr>
          <w:rFonts w:ascii="Arial" w:eastAsia="Arial" w:hAnsi="Arial" w:cs="Arial"/>
          <w:b/>
        </w:rPr>
      </w:pPr>
      <w:r>
        <w:rPr>
          <w:rFonts w:ascii="Arial" w:eastAsia="Arial" w:hAnsi="Arial" w:cs="Arial"/>
          <w:b/>
        </w:rPr>
        <w:t>3. SUSTENTO JURÍDICO DE LA INICIATIVA</w:t>
      </w:r>
    </w:p>
    <w:p w:rsidR="00D35DC7" w:rsidRDefault="00D35DC7">
      <w:pPr>
        <w:spacing w:line="360" w:lineRule="auto"/>
        <w:rPr>
          <w:rFonts w:ascii="Arial" w:eastAsia="Arial" w:hAnsi="Arial" w:cs="Arial"/>
          <w:b/>
        </w:rPr>
      </w:pPr>
    </w:p>
    <w:p w:rsidR="00D35DC7" w:rsidRDefault="00982954">
      <w:pPr>
        <w:spacing w:line="360" w:lineRule="auto"/>
        <w:rPr>
          <w:rFonts w:ascii="Arial" w:eastAsia="Arial" w:hAnsi="Arial" w:cs="Arial"/>
          <w:b/>
        </w:rPr>
      </w:pPr>
      <w:r>
        <w:rPr>
          <w:rFonts w:ascii="Arial" w:eastAsia="Arial" w:hAnsi="Arial" w:cs="Arial"/>
          <w:b/>
        </w:rPr>
        <w:t>3.1. Aspectos Constitucionales</w:t>
      </w:r>
    </w:p>
    <w:p w:rsidR="00D35DC7" w:rsidRDefault="00D35DC7">
      <w:pPr>
        <w:spacing w:line="360" w:lineRule="auto"/>
        <w:rPr>
          <w:rFonts w:ascii="Arial" w:eastAsia="Arial" w:hAnsi="Arial" w:cs="Arial"/>
          <w:b/>
        </w:rPr>
      </w:pPr>
    </w:p>
    <w:p w:rsidR="00D35DC7" w:rsidRDefault="00982954">
      <w:pPr>
        <w:spacing w:line="360" w:lineRule="auto"/>
        <w:jc w:val="both"/>
        <w:rPr>
          <w:rFonts w:ascii="Arial" w:eastAsia="Arial" w:hAnsi="Arial" w:cs="Arial"/>
        </w:rPr>
      </w:pPr>
      <w:r>
        <w:rPr>
          <w:rFonts w:ascii="Arial" w:eastAsia="Arial" w:hAnsi="Arial" w:cs="Arial"/>
        </w:rPr>
        <w:t>La Constitución Política de Colombia define algunos elementos que son relevantes a la hora de analizar el proyecto de acuerdo.</w:t>
      </w:r>
    </w:p>
    <w:p w:rsidR="00D35DC7" w:rsidRDefault="00D35DC7">
      <w:pPr>
        <w:spacing w:line="360" w:lineRule="auto"/>
        <w:rPr>
          <w:rFonts w:ascii="Arial" w:eastAsia="Arial" w:hAnsi="Arial" w:cs="Arial"/>
          <w:b/>
        </w:rPr>
      </w:pPr>
    </w:p>
    <w:p w:rsidR="00D35DC7" w:rsidRDefault="00982954">
      <w:pPr>
        <w:spacing w:line="360" w:lineRule="auto"/>
        <w:jc w:val="both"/>
        <w:rPr>
          <w:rFonts w:ascii="Arial" w:eastAsia="Arial" w:hAnsi="Arial" w:cs="Arial"/>
        </w:rPr>
      </w:pPr>
      <w:r>
        <w:rPr>
          <w:rFonts w:ascii="Arial" w:eastAsia="Arial" w:hAnsi="Arial" w:cs="Arial"/>
          <w:i/>
        </w:rPr>
        <w:t xml:space="preserve">Artículo 1. Colombia es un Estado social de derecho, organizado en forma de República unitaria, descentralizada, con autonomía de sus entidades territoriales, democrática, participativa y pluralista, fundada en el respeto de la dignidad humana, en el trabajo y la solidaridad de las personas que la integran y en la prevalencia del interés general. </w:t>
      </w:r>
      <w:r>
        <w:rPr>
          <w:rFonts w:ascii="Arial" w:eastAsia="Arial" w:hAnsi="Arial" w:cs="Arial"/>
        </w:rPr>
        <w:t>(cursiva fuera de texto).</w:t>
      </w:r>
    </w:p>
    <w:p w:rsidR="00D35DC7" w:rsidRDefault="00D35DC7">
      <w:pPr>
        <w:spacing w:line="360" w:lineRule="auto"/>
        <w:jc w:val="both"/>
        <w:rPr>
          <w:rFonts w:ascii="Arial" w:eastAsia="Arial" w:hAnsi="Arial" w:cs="Arial"/>
          <w:i/>
        </w:rPr>
      </w:pPr>
    </w:p>
    <w:p w:rsidR="00D35DC7" w:rsidRDefault="00982954">
      <w:pPr>
        <w:spacing w:line="360" w:lineRule="auto"/>
        <w:jc w:val="both"/>
        <w:rPr>
          <w:rFonts w:ascii="Arial" w:eastAsia="Arial" w:hAnsi="Arial" w:cs="Arial"/>
        </w:rPr>
      </w:pPr>
      <w:r>
        <w:rPr>
          <w:rFonts w:ascii="Arial" w:eastAsia="Arial" w:hAnsi="Arial" w:cs="Arial"/>
          <w:i/>
        </w:rPr>
        <w:t>Artículo 2. Son fines esenciales del Estado: servir a la comunidad, promover la prosperidad general y garantizar la efectividad de los principios, derechos y deberes consagrados en la Constitución; facilitar la participación de todos en las decisiones que los afectan y en la vida económica, política, administrativa y cultural de la Nación; defender la independencia nacional, mantener la integridad territorial y asegurar la convivencia pacífica y la vigencia de un orden justo.</w:t>
      </w:r>
      <w:r>
        <w:rPr>
          <w:rFonts w:ascii="Arial" w:eastAsia="Arial" w:hAnsi="Arial" w:cs="Arial"/>
        </w:rPr>
        <w:t xml:space="preserve"> </w:t>
      </w:r>
    </w:p>
    <w:p w:rsidR="00D35DC7" w:rsidRDefault="00D35DC7">
      <w:pPr>
        <w:spacing w:line="360" w:lineRule="auto"/>
        <w:jc w:val="both"/>
        <w:rPr>
          <w:rFonts w:ascii="Arial" w:eastAsia="Arial" w:hAnsi="Arial" w:cs="Arial"/>
        </w:rPr>
      </w:pPr>
    </w:p>
    <w:p w:rsidR="00D35DC7" w:rsidRDefault="00982954">
      <w:pPr>
        <w:spacing w:line="360" w:lineRule="auto"/>
        <w:jc w:val="both"/>
        <w:rPr>
          <w:rFonts w:ascii="Arial" w:eastAsia="Arial" w:hAnsi="Arial" w:cs="Arial"/>
        </w:rPr>
      </w:pPr>
      <w:r>
        <w:rPr>
          <w:rFonts w:ascii="Arial" w:eastAsia="Arial" w:hAnsi="Arial" w:cs="Arial"/>
          <w:i/>
        </w:rPr>
        <w:t xml:space="preserve">Las autoridades de la República están instituidas para proteger a todas las personas residentes en Colombia, en su vida, honra, bienes, creencias, y demás derechos y libertades, y para asegurar el cumplimiento de los deberes sociales del Estado y de los particulares. </w:t>
      </w:r>
      <w:r>
        <w:rPr>
          <w:rFonts w:ascii="Arial" w:eastAsia="Arial" w:hAnsi="Arial" w:cs="Arial"/>
        </w:rPr>
        <w:t>(cursiva fuera de texto).</w:t>
      </w:r>
    </w:p>
    <w:p w:rsidR="00D35DC7" w:rsidRDefault="00D35DC7">
      <w:pPr>
        <w:spacing w:line="360" w:lineRule="auto"/>
        <w:jc w:val="both"/>
        <w:rPr>
          <w:rFonts w:ascii="Arial" w:eastAsia="Arial" w:hAnsi="Arial" w:cs="Arial"/>
        </w:rPr>
      </w:pPr>
    </w:p>
    <w:p w:rsidR="00D35DC7" w:rsidRDefault="00982954">
      <w:pPr>
        <w:spacing w:line="360" w:lineRule="auto"/>
        <w:jc w:val="both"/>
        <w:rPr>
          <w:rFonts w:ascii="Arial" w:eastAsia="Arial" w:hAnsi="Arial" w:cs="Arial"/>
          <w:i/>
        </w:rPr>
      </w:pPr>
      <w:r>
        <w:rPr>
          <w:rFonts w:ascii="Arial" w:eastAsia="Arial" w:hAnsi="Arial" w:cs="Arial"/>
          <w:i/>
        </w:rPr>
        <w:t>Artículo 5°. El Estado reconoce, sin discriminación alguna, la primacía de los derechos inalienables de la persona y ampara a la familia como institución básica de la sociedad. (Cursiva fuera de texto).</w:t>
      </w:r>
    </w:p>
    <w:p w:rsidR="00D35DC7" w:rsidRDefault="00D35DC7">
      <w:pPr>
        <w:spacing w:line="360" w:lineRule="auto"/>
        <w:jc w:val="both"/>
        <w:rPr>
          <w:rFonts w:ascii="Arial" w:eastAsia="Arial" w:hAnsi="Arial" w:cs="Arial"/>
          <w:i/>
        </w:rPr>
      </w:pPr>
    </w:p>
    <w:p w:rsidR="00D35DC7" w:rsidRDefault="00982954">
      <w:pPr>
        <w:spacing w:line="360" w:lineRule="auto"/>
        <w:jc w:val="both"/>
        <w:rPr>
          <w:rFonts w:ascii="Arial" w:eastAsia="Arial" w:hAnsi="Arial" w:cs="Arial"/>
        </w:rPr>
      </w:pPr>
      <w:r>
        <w:rPr>
          <w:rFonts w:ascii="Arial" w:eastAsia="Arial" w:hAnsi="Arial" w:cs="Arial"/>
          <w:i/>
        </w:rPr>
        <w:t xml:space="preserve">Artículo 11°. El derecho a la vida es inviolable.No habrá pena de muerte. </w:t>
      </w:r>
      <w:r>
        <w:rPr>
          <w:rFonts w:ascii="Arial" w:eastAsia="Arial" w:hAnsi="Arial" w:cs="Arial"/>
        </w:rPr>
        <w:t>(cursiva fuera de texto).</w:t>
      </w:r>
    </w:p>
    <w:p w:rsidR="00D35DC7" w:rsidRDefault="00D35DC7">
      <w:pPr>
        <w:spacing w:line="360" w:lineRule="auto"/>
        <w:jc w:val="both"/>
        <w:rPr>
          <w:rFonts w:ascii="Arial" w:eastAsia="Arial" w:hAnsi="Arial" w:cs="Arial"/>
        </w:rPr>
      </w:pPr>
    </w:p>
    <w:p w:rsidR="00D35DC7" w:rsidRDefault="00982954">
      <w:pPr>
        <w:shd w:val="clear" w:color="auto" w:fill="FFFFFF"/>
        <w:spacing w:line="360" w:lineRule="auto"/>
        <w:jc w:val="both"/>
        <w:rPr>
          <w:rFonts w:ascii="Calibri" w:eastAsia="Calibri" w:hAnsi="Calibri" w:cs="Calibri"/>
          <w:i/>
          <w:color w:val="333333"/>
          <w:sz w:val="22"/>
          <w:szCs w:val="22"/>
        </w:rPr>
      </w:pPr>
      <w:r>
        <w:rPr>
          <w:rFonts w:ascii="Arial" w:eastAsia="Arial" w:hAnsi="Arial" w:cs="Arial"/>
          <w:i/>
        </w:rPr>
        <w:t xml:space="preserve">Artículo 13. Todas las personas nacen libres e iguales ante la ley, recibirán la misma protección y trato de las autoridades y gozarán de los mismos derechos, libertades </w:t>
      </w:r>
      <w:r>
        <w:rPr>
          <w:rFonts w:ascii="Arial" w:eastAsia="Arial" w:hAnsi="Arial" w:cs="Arial"/>
          <w:i/>
          <w:color w:val="333333"/>
        </w:rPr>
        <w:t>y oportunidades sin ninguna discriminación por razones de sexo, raza, origen nacional o familiar, lengua, religión, opinión política o filosófica.</w:t>
      </w:r>
    </w:p>
    <w:p w:rsidR="00D35DC7" w:rsidRDefault="00D35DC7">
      <w:pPr>
        <w:shd w:val="clear" w:color="auto" w:fill="FFFFFF"/>
        <w:spacing w:line="360" w:lineRule="auto"/>
        <w:jc w:val="both"/>
        <w:rPr>
          <w:rFonts w:ascii="Calibri" w:eastAsia="Calibri" w:hAnsi="Calibri" w:cs="Calibri"/>
          <w:i/>
          <w:color w:val="333333"/>
          <w:sz w:val="22"/>
          <w:szCs w:val="22"/>
        </w:rPr>
      </w:pPr>
    </w:p>
    <w:p w:rsidR="00D35DC7" w:rsidRDefault="00982954">
      <w:pPr>
        <w:shd w:val="clear" w:color="auto" w:fill="FFFFFF"/>
        <w:spacing w:line="360" w:lineRule="auto"/>
        <w:jc w:val="both"/>
        <w:rPr>
          <w:rFonts w:ascii="Calibri" w:eastAsia="Calibri" w:hAnsi="Calibri" w:cs="Calibri"/>
          <w:i/>
          <w:color w:val="333333"/>
          <w:sz w:val="22"/>
          <w:szCs w:val="22"/>
        </w:rPr>
      </w:pPr>
      <w:r>
        <w:rPr>
          <w:rFonts w:ascii="Arial" w:eastAsia="Arial" w:hAnsi="Arial" w:cs="Arial"/>
          <w:i/>
          <w:color w:val="333333"/>
        </w:rPr>
        <w:t>El Estado promoverá las condiciones para que la igualdad sea real y efectiva y adoptará medidas en favor de grupos discriminados o marginados.</w:t>
      </w:r>
    </w:p>
    <w:p w:rsidR="00D35DC7" w:rsidRDefault="00D35DC7">
      <w:pPr>
        <w:shd w:val="clear" w:color="auto" w:fill="FFFFFF"/>
        <w:spacing w:line="360" w:lineRule="auto"/>
        <w:jc w:val="both"/>
        <w:rPr>
          <w:rFonts w:ascii="Calibri" w:eastAsia="Calibri" w:hAnsi="Calibri" w:cs="Calibri"/>
          <w:i/>
          <w:color w:val="333333"/>
          <w:sz w:val="22"/>
          <w:szCs w:val="22"/>
        </w:rPr>
      </w:pPr>
    </w:p>
    <w:p w:rsidR="00D35DC7" w:rsidRDefault="00982954">
      <w:pPr>
        <w:shd w:val="clear" w:color="auto" w:fill="FFFFFF"/>
        <w:spacing w:line="360" w:lineRule="auto"/>
        <w:jc w:val="both"/>
        <w:rPr>
          <w:rFonts w:ascii="Arial" w:eastAsia="Arial" w:hAnsi="Arial" w:cs="Arial"/>
          <w:color w:val="333333"/>
        </w:rPr>
      </w:pPr>
      <w:r>
        <w:rPr>
          <w:rFonts w:ascii="Arial" w:eastAsia="Arial" w:hAnsi="Arial" w:cs="Arial"/>
          <w:i/>
          <w:color w:val="333333"/>
        </w:rPr>
        <w:t>El Estado protegerá especialmente a aquellas personas que por su condición económica, física o mental, se encuentren en circunstancia de debilidad manifiesta y sancionará los abusos o maltratos que contra ellas se cometan.</w:t>
      </w:r>
      <w:r>
        <w:rPr>
          <w:rFonts w:ascii="Calibri" w:eastAsia="Calibri" w:hAnsi="Calibri" w:cs="Calibri"/>
          <w:i/>
          <w:color w:val="333333"/>
          <w:sz w:val="22"/>
          <w:szCs w:val="22"/>
        </w:rPr>
        <w:t xml:space="preserve"> </w:t>
      </w:r>
      <w:r>
        <w:rPr>
          <w:rFonts w:ascii="Arial" w:eastAsia="Arial" w:hAnsi="Arial" w:cs="Arial"/>
        </w:rPr>
        <w:t>(cursiva fuera de texto).</w:t>
      </w:r>
    </w:p>
    <w:p w:rsidR="00D35DC7" w:rsidRDefault="00D35DC7">
      <w:pPr>
        <w:spacing w:line="360" w:lineRule="auto"/>
        <w:jc w:val="both"/>
        <w:rPr>
          <w:rFonts w:ascii="Arial" w:eastAsia="Arial" w:hAnsi="Arial" w:cs="Arial"/>
          <w:i/>
        </w:rPr>
      </w:pPr>
    </w:p>
    <w:p w:rsidR="00D35DC7" w:rsidRDefault="00982954">
      <w:pPr>
        <w:shd w:val="clear" w:color="auto" w:fill="FFFFFF"/>
        <w:spacing w:line="360" w:lineRule="auto"/>
        <w:jc w:val="both"/>
        <w:rPr>
          <w:rFonts w:ascii="Arial" w:eastAsia="Arial" w:hAnsi="Arial" w:cs="Arial"/>
          <w:i/>
          <w:color w:val="333333"/>
        </w:rPr>
      </w:pPr>
      <w:r>
        <w:rPr>
          <w:rFonts w:ascii="Arial" w:eastAsia="Arial" w:hAnsi="Arial" w:cs="Arial"/>
          <w:i/>
          <w:color w:val="333333"/>
        </w:rPr>
        <w:t>Artículo 44.</w:t>
      </w:r>
      <w:r>
        <w:rPr>
          <w:rFonts w:ascii="Arial" w:eastAsia="Arial" w:hAnsi="Arial" w:cs="Arial"/>
          <w:b/>
          <w:i/>
          <w:color w:val="333333"/>
        </w:rPr>
        <w:t> </w:t>
      </w:r>
      <w:r>
        <w:rPr>
          <w:rFonts w:ascii="Arial" w:eastAsia="Arial" w:hAnsi="Arial" w:cs="Arial"/>
          <w:i/>
          <w:color w:val="333333"/>
        </w:rPr>
        <w:t>Son derechos fundamentales de los niños: la vida, la integridad física, la salud y la seguridad social, la alimentación equilibrada, su nombre y nacionalidad, tener una familia y no ser separados de ella, el cuidado y amor, la educación y la cultura, la recreación y la libre expresión de su opinión. Serán protegidos contra toda forma de abandono, violencia física o moral, secuestro, venta, abuso sexual, explotación laboral o económica y trabajos riesgosos. Gozarán también de los demás derechos consagrados en la Constitución, en las leyes y en los tratados internacionales ratificados por Colombia.</w:t>
      </w:r>
    </w:p>
    <w:p w:rsidR="00D35DC7" w:rsidRDefault="00D35DC7">
      <w:pPr>
        <w:shd w:val="clear" w:color="auto" w:fill="FFFFFF"/>
        <w:spacing w:line="360" w:lineRule="auto"/>
        <w:jc w:val="both"/>
        <w:rPr>
          <w:rFonts w:ascii="Arial" w:eastAsia="Arial" w:hAnsi="Arial" w:cs="Arial"/>
          <w:i/>
          <w:color w:val="333333"/>
        </w:rPr>
      </w:pPr>
    </w:p>
    <w:p w:rsidR="00D35DC7" w:rsidRDefault="00982954">
      <w:pPr>
        <w:shd w:val="clear" w:color="auto" w:fill="FFFFFF"/>
        <w:spacing w:line="360" w:lineRule="auto"/>
        <w:jc w:val="both"/>
        <w:rPr>
          <w:rFonts w:ascii="Arial" w:eastAsia="Arial" w:hAnsi="Arial" w:cs="Arial"/>
          <w:i/>
          <w:color w:val="333333"/>
        </w:rPr>
      </w:pPr>
      <w:r>
        <w:rPr>
          <w:rFonts w:ascii="Arial" w:eastAsia="Arial" w:hAnsi="Arial" w:cs="Arial"/>
          <w:i/>
          <w:color w:val="333333"/>
        </w:rPr>
        <w:t>La familia, la sociedad y el Estado tienen la obligación de asistir y proteger al niño para garantizar su desarrollo armónico e integral y el ejercicio pleno de sus derechos. Cualquier persona puede exigir de la autoridad competente su cumplimiento y la sanción de los infractores.</w:t>
      </w:r>
    </w:p>
    <w:p w:rsidR="00D35DC7" w:rsidRDefault="00D35DC7">
      <w:pPr>
        <w:shd w:val="clear" w:color="auto" w:fill="FFFFFF"/>
        <w:spacing w:line="360" w:lineRule="auto"/>
        <w:jc w:val="both"/>
        <w:rPr>
          <w:rFonts w:ascii="Arial" w:eastAsia="Arial" w:hAnsi="Arial" w:cs="Arial"/>
          <w:i/>
          <w:color w:val="333333"/>
        </w:rPr>
      </w:pPr>
    </w:p>
    <w:p w:rsidR="00D35DC7" w:rsidRDefault="00982954">
      <w:pPr>
        <w:shd w:val="clear" w:color="auto" w:fill="FFFFFF"/>
        <w:spacing w:line="360" w:lineRule="auto"/>
        <w:jc w:val="both"/>
        <w:rPr>
          <w:rFonts w:ascii="Arial" w:eastAsia="Arial" w:hAnsi="Arial" w:cs="Arial"/>
          <w:color w:val="333333"/>
        </w:rPr>
      </w:pPr>
      <w:r>
        <w:rPr>
          <w:rFonts w:ascii="Arial" w:eastAsia="Arial" w:hAnsi="Arial" w:cs="Arial"/>
          <w:i/>
          <w:color w:val="333333"/>
        </w:rPr>
        <w:t xml:space="preserve">Los derechos de los niños prevalecen sobre los derechos de los demás. </w:t>
      </w:r>
      <w:r>
        <w:rPr>
          <w:rFonts w:ascii="Arial" w:eastAsia="Arial" w:hAnsi="Arial" w:cs="Arial"/>
        </w:rPr>
        <w:t>(cursiva fuera de texto).</w:t>
      </w:r>
    </w:p>
    <w:p w:rsidR="00D35DC7" w:rsidRDefault="00D35DC7">
      <w:pPr>
        <w:shd w:val="clear" w:color="auto" w:fill="FFFFFF"/>
        <w:jc w:val="both"/>
        <w:rPr>
          <w:rFonts w:ascii="Arial" w:eastAsia="Arial" w:hAnsi="Arial" w:cs="Arial"/>
          <w:i/>
          <w:color w:val="333333"/>
        </w:rPr>
      </w:pPr>
    </w:p>
    <w:p w:rsidR="00D35DC7" w:rsidRDefault="00982954">
      <w:pPr>
        <w:shd w:val="clear" w:color="auto" w:fill="FFFFFF"/>
        <w:spacing w:line="360" w:lineRule="auto"/>
        <w:jc w:val="both"/>
        <w:rPr>
          <w:rFonts w:ascii="Arial" w:eastAsia="Arial" w:hAnsi="Arial" w:cs="Arial"/>
          <w:i/>
          <w:color w:val="333333"/>
        </w:rPr>
      </w:pPr>
      <w:r>
        <w:rPr>
          <w:rFonts w:ascii="Arial" w:eastAsia="Arial" w:hAnsi="Arial" w:cs="Arial"/>
          <w:i/>
          <w:color w:val="333333"/>
        </w:rPr>
        <w:t>Artículo 43.</w:t>
      </w:r>
      <w:r>
        <w:rPr>
          <w:rFonts w:ascii="Arial" w:eastAsia="Arial" w:hAnsi="Arial" w:cs="Arial"/>
          <w:b/>
          <w:i/>
          <w:color w:val="333333"/>
        </w:rPr>
        <w:t> </w:t>
      </w:r>
      <w:r>
        <w:rPr>
          <w:rFonts w:ascii="Arial" w:eastAsia="Arial" w:hAnsi="Arial" w:cs="Arial"/>
          <w:i/>
          <w:color w:val="333333"/>
        </w:rPr>
        <w:t>La mujer y el hombre tienen iguales derechos y oportunidades. La mujer no podrá ser sometida a ninguna clase de discriminación. Durante el embarazo y después del parto gozará de especial asistencia y protección del Estado, y recibirá de éste subsidio alimentario si entonces estuviere desempleada o desamparada.</w:t>
      </w:r>
    </w:p>
    <w:p w:rsidR="00D35DC7" w:rsidRDefault="00D35DC7">
      <w:pPr>
        <w:shd w:val="clear" w:color="auto" w:fill="FFFFFF"/>
        <w:spacing w:line="360" w:lineRule="auto"/>
        <w:jc w:val="both"/>
        <w:rPr>
          <w:rFonts w:ascii="Arial" w:eastAsia="Arial" w:hAnsi="Arial" w:cs="Arial"/>
          <w:i/>
          <w:color w:val="333333"/>
        </w:rPr>
      </w:pPr>
    </w:p>
    <w:p w:rsidR="00D35DC7" w:rsidRDefault="00982954">
      <w:pPr>
        <w:shd w:val="clear" w:color="auto" w:fill="FFFFFF"/>
        <w:spacing w:line="360" w:lineRule="auto"/>
        <w:jc w:val="both"/>
        <w:rPr>
          <w:rFonts w:ascii="Arial" w:eastAsia="Arial" w:hAnsi="Arial" w:cs="Arial"/>
          <w:color w:val="333333"/>
        </w:rPr>
      </w:pPr>
      <w:r>
        <w:rPr>
          <w:rFonts w:ascii="Arial" w:eastAsia="Arial" w:hAnsi="Arial" w:cs="Arial"/>
          <w:i/>
          <w:color w:val="333333"/>
        </w:rPr>
        <w:t>El Estado apoyará de manera especial a la mujer cabeza de familia. </w:t>
      </w:r>
      <w:r>
        <w:rPr>
          <w:rFonts w:ascii="Arial" w:eastAsia="Arial" w:hAnsi="Arial" w:cs="Arial"/>
        </w:rPr>
        <w:t>(cursiva fuera de texto).</w:t>
      </w:r>
    </w:p>
    <w:p w:rsidR="00D35DC7" w:rsidRDefault="00D35DC7">
      <w:pPr>
        <w:shd w:val="clear" w:color="auto" w:fill="FFFFFF"/>
        <w:spacing w:line="360" w:lineRule="auto"/>
        <w:jc w:val="both"/>
        <w:rPr>
          <w:rFonts w:ascii="Arial" w:eastAsia="Arial" w:hAnsi="Arial" w:cs="Arial"/>
          <w:color w:val="333333"/>
        </w:rPr>
      </w:pPr>
    </w:p>
    <w:p w:rsidR="00D35DC7" w:rsidRDefault="00982954">
      <w:pPr>
        <w:shd w:val="clear" w:color="auto" w:fill="FFFFFF"/>
        <w:spacing w:line="360" w:lineRule="auto"/>
        <w:jc w:val="both"/>
        <w:rPr>
          <w:rFonts w:ascii="Arial" w:eastAsia="Arial" w:hAnsi="Arial" w:cs="Arial"/>
          <w:i/>
          <w:color w:val="333333"/>
        </w:rPr>
      </w:pPr>
      <w:r>
        <w:rPr>
          <w:rFonts w:ascii="Arial" w:eastAsia="Arial" w:hAnsi="Arial" w:cs="Arial"/>
          <w:i/>
          <w:color w:val="333333"/>
        </w:rPr>
        <w:t>Artículo 44. Son derechos fundamentales de los niños: la vida, la integridad física, la salud y la seguridad social, la alimentación equilibrada, su nombre y nacionalidad, tener una familia y no ser separados de ella, el cuidado y amor, la educación y la cultura, la recreación y la libre expresión de su opinión. Serán protegidos contra toda forma de abandono, violencia física o moral, secuestro, venta, abuso sexual, explotación laboral o económica y trabajos riesgosos. Gozarán también de los demás derechos consagrados en la Constitución, en las leyes y en los tratados internacionales ratificados por Colombia.</w:t>
      </w:r>
    </w:p>
    <w:p w:rsidR="00D35DC7" w:rsidRDefault="00D35DC7">
      <w:pPr>
        <w:shd w:val="clear" w:color="auto" w:fill="FFFFFF"/>
        <w:spacing w:line="360" w:lineRule="auto"/>
        <w:jc w:val="both"/>
        <w:rPr>
          <w:rFonts w:ascii="Arial" w:eastAsia="Arial" w:hAnsi="Arial" w:cs="Arial"/>
          <w:i/>
          <w:color w:val="333333"/>
        </w:rPr>
      </w:pPr>
    </w:p>
    <w:p w:rsidR="00D35DC7" w:rsidRDefault="00982954">
      <w:pPr>
        <w:shd w:val="clear" w:color="auto" w:fill="FFFFFF"/>
        <w:spacing w:line="360" w:lineRule="auto"/>
        <w:jc w:val="both"/>
        <w:rPr>
          <w:rFonts w:ascii="Arial" w:eastAsia="Arial" w:hAnsi="Arial" w:cs="Arial"/>
          <w:i/>
          <w:color w:val="333333"/>
        </w:rPr>
      </w:pPr>
      <w:r>
        <w:rPr>
          <w:rFonts w:ascii="Arial" w:eastAsia="Arial" w:hAnsi="Arial" w:cs="Arial"/>
          <w:i/>
          <w:color w:val="333333"/>
        </w:rPr>
        <w:t>La familia, la sociedad y el Estado tienen la obligación de asistir y proteger al niño para garantizar su desarrollo armónico e integral y el ejercicio pleno de sus derechos. Cualquier persona puede exigir de la autoridad competente su cumplimiento y la sanción de los infractores.</w:t>
      </w:r>
    </w:p>
    <w:p w:rsidR="00D35DC7" w:rsidRDefault="00D35DC7">
      <w:pPr>
        <w:shd w:val="clear" w:color="auto" w:fill="FFFFFF"/>
        <w:spacing w:line="360" w:lineRule="auto"/>
        <w:jc w:val="both"/>
        <w:rPr>
          <w:rFonts w:ascii="Arial" w:eastAsia="Arial" w:hAnsi="Arial" w:cs="Arial"/>
          <w:color w:val="333333"/>
        </w:rPr>
      </w:pPr>
    </w:p>
    <w:p w:rsidR="00D35DC7" w:rsidRDefault="00982954">
      <w:pPr>
        <w:shd w:val="clear" w:color="auto" w:fill="FFFFFF"/>
        <w:spacing w:line="360" w:lineRule="auto"/>
        <w:jc w:val="both"/>
        <w:rPr>
          <w:rFonts w:ascii="Arial" w:eastAsia="Arial" w:hAnsi="Arial" w:cs="Arial"/>
          <w:color w:val="333333"/>
        </w:rPr>
      </w:pPr>
      <w:r>
        <w:rPr>
          <w:rFonts w:ascii="Arial" w:eastAsia="Arial" w:hAnsi="Arial" w:cs="Arial"/>
          <w:i/>
          <w:color w:val="333333"/>
        </w:rPr>
        <w:t xml:space="preserve">Los derechos de los niños prevalecen sobre los derechos de los demás. </w:t>
      </w:r>
      <w:r>
        <w:rPr>
          <w:rFonts w:ascii="Arial" w:eastAsia="Arial" w:hAnsi="Arial" w:cs="Arial"/>
        </w:rPr>
        <w:t>(cursiva fuera de texto).</w:t>
      </w:r>
    </w:p>
    <w:p w:rsidR="00D35DC7" w:rsidRDefault="00D35DC7">
      <w:pPr>
        <w:shd w:val="clear" w:color="auto" w:fill="FFFFFF"/>
        <w:spacing w:line="360" w:lineRule="auto"/>
        <w:jc w:val="both"/>
        <w:rPr>
          <w:rFonts w:ascii="Arial" w:eastAsia="Arial" w:hAnsi="Arial" w:cs="Arial"/>
          <w:color w:val="333333"/>
        </w:rPr>
      </w:pPr>
    </w:p>
    <w:p w:rsidR="00D35DC7" w:rsidRDefault="00982954">
      <w:pPr>
        <w:shd w:val="clear" w:color="auto" w:fill="FFFFFF"/>
        <w:spacing w:line="360" w:lineRule="auto"/>
        <w:jc w:val="both"/>
        <w:rPr>
          <w:rFonts w:ascii="Arial" w:eastAsia="Arial" w:hAnsi="Arial" w:cs="Arial"/>
          <w:color w:val="333333"/>
        </w:rPr>
      </w:pPr>
      <w:r>
        <w:rPr>
          <w:rFonts w:ascii="Arial" w:eastAsia="Arial" w:hAnsi="Arial" w:cs="Arial"/>
          <w:i/>
          <w:color w:val="333333"/>
        </w:rPr>
        <w:t>Artículo 45. El adolescente tiene derecho a la protección y a la formación integral.</w:t>
      </w:r>
      <w:r>
        <w:rPr>
          <w:rFonts w:ascii="Arial" w:eastAsia="Arial" w:hAnsi="Arial" w:cs="Arial"/>
        </w:rPr>
        <w:t xml:space="preserve"> (cursiva fuera de texto).</w:t>
      </w:r>
    </w:p>
    <w:p w:rsidR="00D35DC7" w:rsidRDefault="00D35DC7">
      <w:pPr>
        <w:shd w:val="clear" w:color="auto" w:fill="FFFFFF"/>
        <w:spacing w:line="360" w:lineRule="auto"/>
        <w:jc w:val="both"/>
        <w:rPr>
          <w:rFonts w:ascii="Arial" w:eastAsia="Arial" w:hAnsi="Arial" w:cs="Arial"/>
          <w:i/>
          <w:color w:val="333333"/>
        </w:rPr>
      </w:pPr>
    </w:p>
    <w:p w:rsidR="00D35DC7" w:rsidRDefault="00982954">
      <w:pPr>
        <w:shd w:val="clear" w:color="auto" w:fill="FFFFFF"/>
        <w:spacing w:line="360" w:lineRule="auto"/>
        <w:jc w:val="both"/>
        <w:rPr>
          <w:rFonts w:ascii="Arial" w:eastAsia="Arial" w:hAnsi="Arial" w:cs="Arial"/>
          <w:color w:val="333333"/>
        </w:rPr>
      </w:pPr>
      <w:r>
        <w:rPr>
          <w:rFonts w:ascii="Arial" w:eastAsia="Arial" w:hAnsi="Arial" w:cs="Arial"/>
          <w:i/>
          <w:color w:val="333333"/>
        </w:rPr>
        <w:t>El Estado y la sociedad garantizan la participación activa de los jóvenes en los organismos públicos y privados que tengan a cargo la protección, educación y progreso de la juventud.</w:t>
      </w:r>
      <w:r>
        <w:rPr>
          <w:rFonts w:ascii="Arial" w:eastAsia="Arial" w:hAnsi="Arial" w:cs="Arial"/>
        </w:rPr>
        <w:t xml:space="preserve"> (cursiva fuera de texto).</w:t>
      </w:r>
    </w:p>
    <w:p w:rsidR="00D35DC7" w:rsidRDefault="00D35DC7">
      <w:pPr>
        <w:shd w:val="clear" w:color="auto" w:fill="FFFFFF"/>
        <w:spacing w:line="360" w:lineRule="auto"/>
        <w:jc w:val="both"/>
        <w:rPr>
          <w:rFonts w:ascii="Arial" w:eastAsia="Arial" w:hAnsi="Arial" w:cs="Arial"/>
          <w:i/>
          <w:color w:val="333333"/>
        </w:rPr>
      </w:pPr>
    </w:p>
    <w:p w:rsidR="00D35DC7" w:rsidRDefault="00982954">
      <w:pPr>
        <w:shd w:val="clear" w:color="auto" w:fill="FFFFFF"/>
        <w:spacing w:line="360" w:lineRule="auto"/>
        <w:jc w:val="both"/>
        <w:rPr>
          <w:rFonts w:ascii="Arial" w:eastAsia="Arial" w:hAnsi="Arial" w:cs="Arial"/>
          <w:color w:val="333333"/>
        </w:rPr>
      </w:pPr>
      <w:r>
        <w:rPr>
          <w:rFonts w:ascii="Arial" w:eastAsia="Arial" w:hAnsi="Arial" w:cs="Arial"/>
          <w:i/>
          <w:color w:val="333333"/>
        </w:rPr>
        <w:t>Artículo 46. El Estado, la sociedad y la familia concurrirán para la protección y la asistencia de las personas de la tercera edad y promoverán su integración a la vida activa y comunitaria.</w:t>
      </w:r>
      <w:r>
        <w:rPr>
          <w:rFonts w:ascii="Arial" w:eastAsia="Arial" w:hAnsi="Arial" w:cs="Arial"/>
        </w:rPr>
        <w:t xml:space="preserve"> (cursiva fuera de texto).</w:t>
      </w:r>
    </w:p>
    <w:p w:rsidR="00D35DC7" w:rsidRDefault="00D35DC7">
      <w:pPr>
        <w:shd w:val="clear" w:color="auto" w:fill="FFFFFF"/>
        <w:spacing w:line="360" w:lineRule="auto"/>
        <w:jc w:val="both"/>
        <w:rPr>
          <w:rFonts w:ascii="Arial" w:eastAsia="Arial" w:hAnsi="Arial" w:cs="Arial"/>
          <w:i/>
          <w:color w:val="333333"/>
        </w:rPr>
      </w:pPr>
    </w:p>
    <w:p w:rsidR="00D35DC7" w:rsidRDefault="00982954">
      <w:pPr>
        <w:shd w:val="clear" w:color="auto" w:fill="FFFFFF"/>
        <w:spacing w:line="360" w:lineRule="auto"/>
        <w:jc w:val="both"/>
        <w:rPr>
          <w:rFonts w:ascii="Arial" w:eastAsia="Arial" w:hAnsi="Arial" w:cs="Arial"/>
          <w:color w:val="333333"/>
        </w:rPr>
      </w:pPr>
      <w:r>
        <w:rPr>
          <w:rFonts w:ascii="Arial" w:eastAsia="Arial" w:hAnsi="Arial" w:cs="Arial"/>
          <w:i/>
          <w:color w:val="333333"/>
        </w:rPr>
        <w:t>El Estado les garantizará los servicios de la seguridad social integral y el subsidio alimentario en caso de indigencia.</w:t>
      </w:r>
      <w:r>
        <w:rPr>
          <w:rFonts w:ascii="Arial" w:eastAsia="Arial" w:hAnsi="Arial" w:cs="Arial"/>
        </w:rPr>
        <w:t xml:space="preserve"> (cursiva fuera de texto).</w:t>
      </w:r>
    </w:p>
    <w:p w:rsidR="00D35DC7" w:rsidRDefault="00D35DC7">
      <w:pPr>
        <w:shd w:val="clear" w:color="auto" w:fill="FFFFFF"/>
        <w:spacing w:line="360" w:lineRule="auto"/>
        <w:jc w:val="both"/>
        <w:rPr>
          <w:rFonts w:ascii="Arial" w:eastAsia="Arial" w:hAnsi="Arial" w:cs="Arial"/>
          <w:i/>
          <w:color w:val="333333"/>
        </w:rPr>
      </w:pPr>
    </w:p>
    <w:p w:rsidR="00D35DC7" w:rsidRDefault="00982954">
      <w:pPr>
        <w:shd w:val="clear" w:color="auto" w:fill="FFFFFF"/>
        <w:spacing w:line="360" w:lineRule="auto"/>
        <w:jc w:val="both"/>
        <w:rPr>
          <w:rFonts w:ascii="Arial" w:eastAsia="Arial" w:hAnsi="Arial" w:cs="Arial"/>
          <w:color w:val="333333"/>
        </w:rPr>
      </w:pPr>
      <w:r>
        <w:rPr>
          <w:rFonts w:ascii="Arial" w:eastAsia="Arial" w:hAnsi="Arial" w:cs="Arial"/>
          <w:i/>
          <w:color w:val="333333"/>
        </w:rPr>
        <w:t xml:space="preserve">Artículo 47. El Estado adelantará una política de previsión, rehabilitación e integración social para los disminuidos físicos, sensoriales y psíquicos, a quienes se prestará la atención especializada que requieran. </w:t>
      </w:r>
      <w:r>
        <w:rPr>
          <w:rFonts w:ascii="Arial" w:eastAsia="Arial" w:hAnsi="Arial" w:cs="Arial"/>
        </w:rPr>
        <w:t>(cursiva fuera de texto).</w:t>
      </w:r>
    </w:p>
    <w:p w:rsidR="00D35DC7" w:rsidRDefault="00D35DC7">
      <w:pPr>
        <w:shd w:val="clear" w:color="auto" w:fill="FFFFFF"/>
        <w:spacing w:line="360" w:lineRule="auto"/>
        <w:jc w:val="both"/>
        <w:rPr>
          <w:rFonts w:ascii="Arial" w:eastAsia="Arial" w:hAnsi="Arial" w:cs="Arial"/>
          <w:i/>
          <w:color w:val="333333"/>
        </w:rPr>
      </w:pPr>
    </w:p>
    <w:p w:rsidR="00D35DC7" w:rsidRDefault="00982954">
      <w:pPr>
        <w:shd w:val="clear" w:color="auto" w:fill="FFFFFF"/>
        <w:spacing w:line="360" w:lineRule="auto"/>
        <w:jc w:val="both"/>
        <w:rPr>
          <w:rFonts w:ascii="Arial" w:eastAsia="Arial" w:hAnsi="Arial" w:cs="Arial"/>
          <w:i/>
          <w:color w:val="333333"/>
        </w:rPr>
      </w:pPr>
      <w:r>
        <w:rPr>
          <w:rFonts w:ascii="Arial" w:eastAsia="Arial" w:hAnsi="Arial" w:cs="Arial"/>
          <w:i/>
          <w:color w:val="333333"/>
        </w:rPr>
        <w:t>Artículo 49. Modificado por el art. 1°, Acto Legislativo 02 de 2009. &lt;El nuevo texto es el siguiente&gt; La atención de la salud y el saneamiento ambiental son servicios públicos a cargo del Estado. Se garantiza a todas las personas el acceso a los servicios de promoción, protección y recuperación de la salud.</w:t>
      </w:r>
    </w:p>
    <w:p w:rsidR="00D35DC7" w:rsidRDefault="00D35DC7">
      <w:pPr>
        <w:shd w:val="clear" w:color="auto" w:fill="FFFFFF"/>
        <w:spacing w:line="360" w:lineRule="auto"/>
        <w:jc w:val="both"/>
        <w:rPr>
          <w:rFonts w:ascii="Arial" w:eastAsia="Arial" w:hAnsi="Arial" w:cs="Arial"/>
          <w:i/>
          <w:color w:val="333333"/>
        </w:rPr>
      </w:pPr>
    </w:p>
    <w:p w:rsidR="00D35DC7" w:rsidRDefault="00982954">
      <w:pPr>
        <w:shd w:val="clear" w:color="auto" w:fill="FFFFFF"/>
        <w:spacing w:line="360" w:lineRule="auto"/>
        <w:jc w:val="both"/>
        <w:rPr>
          <w:rFonts w:ascii="Arial" w:eastAsia="Arial" w:hAnsi="Arial" w:cs="Arial"/>
          <w:i/>
          <w:color w:val="333333"/>
        </w:rPr>
      </w:pPr>
      <w:r>
        <w:rPr>
          <w:rFonts w:ascii="Arial" w:eastAsia="Arial" w:hAnsi="Arial" w:cs="Arial"/>
          <w:i/>
          <w:color w:val="333333"/>
        </w:rPr>
        <w:t>Corresponde al Estado organizar, dirigir y reglamentar la prestación de servicios de salud a los habitantes y de saneamiento ambiental conforme a los principios de eficiencia, universalidad y solidaridad. También, establecer las políticas para la prestación de servicios de salud por entidades privadas, y ejercer su vigilancia y control. Así mismo, establecer las competencias de la Nación, las entidades territoriales y los particulares y determinar los aportes a su cargo en los términos y condiciones señalados en la ley.</w:t>
      </w:r>
    </w:p>
    <w:p w:rsidR="00D35DC7" w:rsidRDefault="00D35DC7">
      <w:pPr>
        <w:shd w:val="clear" w:color="auto" w:fill="FFFFFF"/>
        <w:spacing w:line="360" w:lineRule="auto"/>
        <w:jc w:val="both"/>
        <w:rPr>
          <w:rFonts w:ascii="Arial" w:eastAsia="Arial" w:hAnsi="Arial" w:cs="Arial"/>
          <w:i/>
          <w:color w:val="333333"/>
        </w:rPr>
      </w:pPr>
    </w:p>
    <w:p w:rsidR="00D35DC7" w:rsidRDefault="00982954">
      <w:pPr>
        <w:shd w:val="clear" w:color="auto" w:fill="FFFFFF"/>
        <w:spacing w:line="360" w:lineRule="auto"/>
        <w:jc w:val="both"/>
        <w:rPr>
          <w:rFonts w:ascii="Arial" w:eastAsia="Arial" w:hAnsi="Arial" w:cs="Arial"/>
          <w:color w:val="333333"/>
        </w:rPr>
      </w:pPr>
      <w:r>
        <w:rPr>
          <w:rFonts w:ascii="Arial" w:eastAsia="Arial" w:hAnsi="Arial" w:cs="Arial"/>
          <w:i/>
          <w:color w:val="333333"/>
        </w:rPr>
        <w:t>Los servicios de salud se organizarán en forma descentralizada, por niveles de atención y con participación de la comunidad.</w:t>
      </w:r>
      <w:r>
        <w:rPr>
          <w:rFonts w:ascii="Arial" w:eastAsia="Arial" w:hAnsi="Arial" w:cs="Arial"/>
        </w:rPr>
        <w:t xml:space="preserve"> (cursiva fuera de texto).</w:t>
      </w:r>
    </w:p>
    <w:p w:rsidR="00D35DC7" w:rsidRDefault="00D35DC7">
      <w:pPr>
        <w:shd w:val="clear" w:color="auto" w:fill="FFFFFF"/>
        <w:jc w:val="both"/>
        <w:rPr>
          <w:rFonts w:ascii="Arial" w:eastAsia="Arial" w:hAnsi="Arial" w:cs="Arial"/>
          <w:color w:val="333333"/>
        </w:rPr>
      </w:pPr>
    </w:p>
    <w:p w:rsidR="00D35DC7" w:rsidRDefault="00982954">
      <w:pPr>
        <w:spacing w:line="360" w:lineRule="auto"/>
        <w:jc w:val="both"/>
        <w:rPr>
          <w:rFonts w:ascii="Arial" w:eastAsia="Arial" w:hAnsi="Arial" w:cs="Arial"/>
          <w:i/>
        </w:rPr>
      </w:pPr>
      <w:r>
        <w:rPr>
          <w:rFonts w:ascii="Arial" w:eastAsia="Arial" w:hAnsi="Arial" w:cs="Arial"/>
          <w:i/>
        </w:rPr>
        <w:t>Artículo 51. Todos los colombianos tienen derecho a vivienda digna. El Estado fijará las condiciones necesarias para hacer efectivo este derecho y promoverá planes de vivienda de interés social, sistemas adecuados de financiación a largo plazo y formas asociativas de ejecución de estos programas de vivienda.</w:t>
      </w:r>
    </w:p>
    <w:p w:rsidR="00D35DC7" w:rsidRDefault="00D35DC7">
      <w:pPr>
        <w:spacing w:line="360" w:lineRule="auto"/>
        <w:jc w:val="both"/>
        <w:rPr>
          <w:rFonts w:ascii="Arial" w:eastAsia="Arial" w:hAnsi="Arial" w:cs="Arial"/>
          <w:i/>
        </w:rPr>
      </w:pPr>
    </w:p>
    <w:p w:rsidR="00D35DC7" w:rsidRDefault="00982954">
      <w:pPr>
        <w:spacing w:line="360" w:lineRule="auto"/>
        <w:jc w:val="both"/>
        <w:rPr>
          <w:rFonts w:ascii="Arial" w:eastAsia="Arial" w:hAnsi="Arial" w:cs="Arial"/>
          <w:i/>
        </w:rPr>
      </w:pPr>
      <w:r>
        <w:rPr>
          <w:rFonts w:ascii="Arial" w:eastAsia="Arial" w:hAnsi="Arial" w:cs="Arial"/>
          <w:i/>
        </w:rPr>
        <w:t>Artículo 52. Modificado por el art. 1°, Acto Legislativo 02 de 2000 &lt;El nuevo texto es el siguiente&gt; El ejercicio del deporte, sus manifestaciones recreativas, competitivas y autóctonas tienen como función la formación integral de las personas, preservar y desarrollar una mejor salud en el ser humano.</w:t>
      </w:r>
    </w:p>
    <w:p w:rsidR="00D35DC7" w:rsidRDefault="00D35DC7">
      <w:pPr>
        <w:spacing w:line="360" w:lineRule="auto"/>
        <w:jc w:val="both"/>
        <w:rPr>
          <w:rFonts w:ascii="Arial" w:eastAsia="Arial" w:hAnsi="Arial" w:cs="Arial"/>
          <w:i/>
        </w:rPr>
      </w:pPr>
    </w:p>
    <w:p w:rsidR="00D35DC7" w:rsidRDefault="00982954">
      <w:pPr>
        <w:spacing w:line="360" w:lineRule="auto"/>
        <w:jc w:val="both"/>
        <w:rPr>
          <w:rFonts w:ascii="Arial" w:eastAsia="Arial" w:hAnsi="Arial" w:cs="Arial"/>
          <w:i/>
        </w:rPr>
      </w:pPr>
      <w:r>
        <w:rPr>
          <w:rFonts w:ascii="Arial" w:eastAsia="Arial" w:hAnsi="Arial" w:cs="Arial"/>
          <w:i/>
        </w:rPr>
        <w:t>El deporte y la recreación, forman parte de la educación y constituyen gasto público social.</w:t>
      </w:r>
    </w:p>
    <w:p w:rsidR="00D35DC7" w:rsidRDefault="00D35DC7">
      <w:pPr>
        <w:spacing w:line="360" w:lineRule="auto"/>
        <w:jc w:val="both"/>
        <w:rPr>
          <w:rFonts w:ascii="Arial" w:eastAsia="Arial" w:hAnsi="Arial" w:cs="Arial"/>
          <w:i/>
        </w:rPr>
      </w:pPr>
    </w:p>
    <w:p w:rsidR="00D35DC7" w:rsidRDefault="00982954">
      <w:pPr>
        <w:spacing w:line="360" w:lineRule="auto"/>
        <w:jc w:val="both"/>
        <w:rPr>
          <w:rFonts w:ascii="Arial" w:eastAsia="Arial" w:hAnsi="Arial" w:cs="Arial"/>
        </w:rPr>
      </w:pPr>
      <w:r>
        <w:rPr>
          <w:rFonts w:ascii="Arial" w:eastAsia="Arial" w:hAnsi="Arial" w:cs="Arial"/>
          <w:i/>
        </w:rPr>
        <w:t xml:space="preserve">Se reconoce el derecho de todas las personas a la recreación, a la práctica del deporte y al aprovechamiento del tiempo libre. </w:t>
      </w:r>
      <w:r>
        <w:rPr>
          <w:rFonts w:ascii="Arial" w:eastAsia="Arial" w:hAnsi="Arial" w:cs="Arial"/>
        </w:rPr>
        <w:t>(cursiva fuera de texto).</w:t>
      </w:r>
    </w:p>
    <w:p w:rsidR="00D35DC7" w:rsidRDefault="00D35DC7">
      <w:pPr>
        <w:spacing w:line="360" w:lineRule="auto"/>
        <w:rPr>
          <w:rFonts w:ascii="Arial" w:eastAsia="Arial" w:hAnsi="Arial" w:cs="Arial"/>
          <w:b/>
          <w:i/>
        </w:rPr>
      </w:pPr>
    </w:p>
    <w:p w:rsidR="00D35DC7" w:rsidRDefault="00982954">
      <w:pPr>
        <w:spacing w:line="360" w:lineRule="auto"/>
        <w:jc w:val="both"/>
        <w:rPr>
          <w:rFonts w:ascii="Arial" w:eastAsia="Arial" w:hAnsi="Arial" w:cs="Arial"/>
          <w:i/>
        </w:rPr>
      </w:pPr>
      <w:r>
        <w:rPr>
          <w:rFonts w:ascii="Arial" w:eastAsia="Arial" w:hAnsi="Arial" w:cs="Arial"/>
          <w:i/>
        </w:rPr>
        <w:t>Artículo 67. La educación es un derecho de la persona y un servicio público que tiene una función social; con ella se busca el acceso al conocimiento, a la ciencia, a la técnica, y a los demás bienes y valores de la cultura.</w:t>
      </w:r>
    </w:p>
    <w:p w:rsidR="00D35DC7" w:rsidRDefault="00D35DC7">
      <w:pPr>
        <w:spacing w:line="360" w:lineRule="auto"/>
        <w:jc w:val="both"/>
        <w:rPr>
          <w:rFonts w:ascii="Arial" w:eastAsia="Arial" w:hAnsi="Arial" w:cs="Arial"/>
          <w:i/>
        </w:rPr>
      </w:pPr>
    </w:p>
    <w:p w:rsidR="00D35DC7" w:rsidRDefault="00982954">
      <w:pPr>
        <w:spacing w:line="360" w:lineRule="auto"/>
        <w:jc w:val="both"/>
        <w:rPr>
          <w:rFonts w:ascii="Arial" w:eastAsia="Arial" w:hAnsi="Arial" w:cs="Arial"/>
          <w:i/>
        </w:rPr>
      </w:pPr>
      <w:r>
        <w:rPr>
          <w:rFonts w:ascii="Arial" w:eastAsia="Arial" w:hAnsi="Arial" w:cs="Arial"/>
          <w:i/>
        </w:rPr>
        <w:t>La educación formará al colombiano en el respeto a los derechos humanos, a la paz y a la democracia; y en la práctica del trabajo y la recreación, para el mejoramiento cultural, científico, tecnológico y para la protección del ambiente.</w:t>
      </w:r>
    </w:p>
    <w:p w:rsidR="00D35DC7" w:rsidRDefault="00D35DC7">
      <w:pPr>
        <w:spacing w:line="360" w:lineRule="auto"/>
        <w:jc w:val="both"/>
        <w:rPr>
          <w:rFonts w:ascii="Arial" w:eastAsia="Arial" w:hAnsi="Arial" w:cs="Arial"/>
          <w:i/>
        </w:rPr>
      </w:pPr>
    </w:p>
    <w:p w:rsidR="00D35DC7" w:rsidRDefault="00982954">
      <w:pPr>
        <w:spacing w:line="360" w:lineRule="auto"/>
        <w:jc w:val="both"/>
        <w:rPr>
          <w:rFonts w:ascii="Arial" w:eastAsia="Arial" w:hAnsi="Arial" w:cs="Arial"/>
          <w:i/>
        </w:rPr>
      </w:pPr>
      <w:r>
        <w:rPr>
          <w:rFonts w:ascii="Arial" w:eastAsia="Arial" w:hAnsi="Arial" w:cs="Arial"/>
          <w:i/>
        </w:rPr>
        <w:t>El Estado, la sociedad y la familia son responsables de la educación, que será obligatoria entre los cinco y los quince años de edad y que comprenderá como mínimo, un año de preescolar y nueve de educación básica.</w:t>
      </w:r>
    </w:p>
    <w:p w:rsidR="00D35DC7" w:rsidRDefault="00D35DC7">
      <w:pPr>
        <w:spacing w:line="360" w:lineRule="auto"/>
        <w:jc w:val="both"/>
        <w:rPr>
          <w:rFonts w:ascii="Arial" w:eastAsia="Arial" w:hAnsi="Arial" w:cs="Arial"/>
          <w:i/>
        </w:rPr>
      </w:pPr>
    </w:p>
    <w:p w:rsidR="00D35DC7" w:rsidRDefault="00982954">
      <w:pPr>
        <w:spacing w:line="360" w:lineRule="auto"/>
        <w:jc w:val="both"/>
        <w:rPr>
          <w:rFonts w:ascii="Arial" w:eastAsia="Arial" w:hAnsi="Arial" w:cs="Arial"/>
          <w:i/>
        </w:rPr>
      </w:pPr>
      <w:r>
        <w:rPr>
          <w:rFonts w:ascii="Arial" w:eastAsia="Arial" w:hAnsi="Arial" w:cs="Arial"/>
          <w:i/>
        </w:rPr>
        <w:t>La educación será gratuita en las instituciones del Estado, sin perjuicio del cobro de derechos académicos a quienes puedan sufragarlos.</w:t>
      </w:r>
    </w:p>
    <w:p w:rsidR="00D35DC7" w:rsidRDefault="00D35DC7">
      <w:pPr>
        <w:spacing w:line="360" w:lineRule="auto"/>
        <w:jc w:val="both"/>
        <w:rPr>
          <w:rFonts w:ascii="Arial" w:eastAsia="Arial" w:hAnsi="Arial" w:cs="Arial"/>
          <w:i/>
        </w:rPr>
      </w:pPr>
    </w:p>
    <w:p w:rsidR="00D35DC7" w:rsidRDefault="00982954">
      <w:pPr>
        <w:spacing w:line="360" w:lineRule="auto"/>
        <w:jc w:val="both"/>
        <w:rPr>
          <w:rFonts w:ascii="Arial" w:eastAsia="Arial" w:hAnsi="Arial" w:cs="Arial"/>
          <w:i/>
        </w:rPr>
      </w:pPr>
      <w:r>
        <w:rPr>
          <w:rFonts w:ascii="Arial" w:eastAsia="Arial" w:hAnsi="Arial" w:cs="Arial"/>
          <w:i/>
        </w:rPr>
        <w:t>Corresponde al Estado regular y ejercer la suprema inspección y vigilancia de la educación con el fin de velar por su calidad, por el cumplimiento de sus fines y por la mejor formación moral, intelectual y física de los educandos; garantizar el adecuado cubrimiento del servicio y asegurar a los menores las condiciones necesarias para su acceso y permanencia en el sistema educativo.</w:t>
      </w:r>
    </w:p>
    <w:p w:rsidR="00D35DC7" w:rsidRDefault="00D35DC7">
      <w:pPr>
        <w:spacing w:line="360" w:lineRule="auto"/>
        <w:jc w:val="both"/>
        <w:rPr>
          <w:rFonts w:ascii="Arial" w:eastAsia="Arial" w:hAnsi="Arial" w:cs="Arial"/>
          <w:i/>
        </w:rPr>
      </w:pPr>
    </w:p>
    <w:p w:rsidR="00D35DC7" w:rsidRDefault="00982954">
      <w:pPr>
        <w:spacing w:line="360" w:lineRule="auto"/>
        <w:jc w:val="both"/>
        <w:rPr>
          <w:rFonts w:ascii="Arial" w:eastAsia="Arial" w:hAnsi="Arial" w:cs="Arial"/>
        </w:rPr>
      </w:pPr>
      <w:r>
        <w:rPr>
          <w:rFonts w:ascii="Arial" w:eastAsia="Arial" w:hAnsi="Arial" w:cs="Arial"/>
          <w:i/>
        </w:rPr>
        <w:t xml:space="preserve">La Nación y las entidades territoriales participarán en la dirección, financiación y administración de los servicios educativos estatales, en los términos que señalen la Constitución y la ley. </w:t>
      </w:r>
      <w:r>
        <w:rPr>
          <w:rFonts w:ascii="Arial" w:eastAsia="Arial" w:hAnsi="Arial" w:cs="Arial"/>
        </w:rPr>
        <w:t>(cursiva fuera de texto).</w:t>
      </w:r>
    </w:p>
    <w:p w:rsidR="00D35DC7" w:rsidRDefault="00D35DC7">
      <w:pPr>
        <w:spacing w:line="360" w:lineRule="auto"/>
        <w:jc w:val="both"/>
        <w:rPr>
          <w:rFonts w:ascii="Arial" w:eastAsia="Arial" w:hAnsi="Arial" w:cs="Arial"/>
          <w:b/>
          <w:i/>
        </w:rPr>
      </w:pPr>
    </w:p>
    <w:p w:rsidR="00D35DC7" w:rsidRDefault="00982954">
      <w:pPr>
        <w:spacing w:line="360" w:lineRule="auto"/>
        <w:jc w:val="both"/>
        <w:rPr>
          <w:rFonts w:ascii="Arial" w:eastAsia="Arial" w:hAnsi="Arial" w:cs="Arial"/>
          <w:i/>
        </w:rPr>
      </w:pPr>
      <w:r>
        <w:rPr>
          <w:rFonts w:ascii="Arial" w:eastAsia="Arial" w:hAnsi="Arial" w:cs="Arial"/>
          <w:i/>
        </w:rPr>
        <w:t xml:space="preserve">Artículo 311. Al municipio como entidad fundamental de la división político-administrativa del Estado le corresponde prestar los servicios públicos que determine la ley, construir las obras que demande el progreso local, ordenar el desarrollo de su territorio, promover la participación comunitaria, el mejoramiento social y cultural de sus habitantes y cumplir las demás funciones que le asignen la Constitución y las leyes. </w:t>
      </w:r>
      <w:r>
        <w:rPr>
          <w:rFonts w:ascii="Arial" w:eastAsia="Arial" w:hAnsi="Arial" w:cs="Arial"/>
        </w:rPr>
        <w:t>(cursiva fuera de texto).</w:t>
      </w:r>
    </w:p>
    <w:p w:rsidR="00D35DC7" w:rsidRDefault="00D35DC7">
      <w:pPr>
        <w:spacing w:line="360" w:lineRule="auto"/>
        <w:jc w:val="both"/>
        <w:rPr>
          <w:rFonts w:ascii="Arial" w:eastAsia="Arial" w:hAnsi="Arial" w:cs="Arial"/>
          <w:b/>
          <w:i/>
        </w:rPr>
      </w:pPr>
    </w:p>
    <w:p w:rsidR="00D35DC7" w:rsidRDefault="00982954">
      <w:pPr>
        <w:spacing w:line="360" w:lineRule="auto"/>
        <w:jc w:val="both"/>
        <w:rPr>
          <w:rFonts w:ascii="Arial" w:eastAsia="Arial" w:hAnsi="Arial" w:cs="Arial"/>
          <w:i/>
        </w:rPr>
      </w:pPr>
      <w:r>
        <w:rPr>
          <w:rFonts w:ascii="Arial" w:eastAsia="Arial" w:hAnsi="Arial" w:cs="Arial"/>
          <w:i/>
        </w:rPr>
        <w:t>ARTÍCULO  313. Corresponde a los concejos:</w:t>
      </w:r>
    </w:p>
    <w:p w:rsidR="00D35DC7" w:rsidRDefault="00982954">
      <w:pPr>
        <w:spacing w:line="360" w:lineRule="auto"/>
        <w:jc w:val="both"/>
        <w:rPr>
          <w:rFonts w:ascii="Arial" w:eastAsia="Arial" w:hAnsi="Arial" w:cs="Arial"/>
          <w:i/>
        </w:rPr>
      </w:pPr>
      <w:r>
        <w:rPr>
          <w:rFonts w:ascii="Arial" w:eastAsia="Arial" w:hAnsi="Arial" w:cs="Arial"/>
          <w:i/>
        </w:rPr>
        <w:t>1. Reglamentar las funciones y la eficiente prestación de los servicios a cargo del municipio.</w:t>
      </w:r>
    </w:p>
    <w:p w:rsidR="00D35DC7" w:rsidRDefault="00D35DC7">
      <w:pPr>
        <w:spacing w:line="360" w:lineRule="auto"/>
        <w:jc w:val="both"/>
        <w:rPr>
          <w:rFonts w:ascii="Arial" w:eastAsia="Arial" w:hAnsi="Arial" w:cs="Arial"/>
          <w:i/>
        </w:rPr>
      </w:pPr>
    </w:p>
    <w:p w:rsidR="00D35DC7" w:rsidRDefault="00982954">
      <w:pPr>
        <w:spacing w:line="360" w:lineRule="auto"/>
        <w:jc w:val="both"/>
        <w:rPr>
          <w:rFonts w:ascii="Arial" w:eastAsia="Arial" w:hAnsi="Arial" w:cs="Arial"/>
          <w:i/>
        </w:rPr>
      </w:pPr>
      <w:r>
        <w:rPr>
          <w:rFonts w:ascii="Arial" w:eastAsia="Arial" w:hAnsi="Arial" w:cs="Arial"/>
          <w:i/>
        </w:rPr>
        <w:t xml:space="preserve">2. Adoptar los correspondientes planes y programas de desarrollo económico y social y de obras públicas.  </w:t>
      </w:r>
      <w:r>
        <w:rPr>
          <w:rFonts w:ascii="Arial" w:eastAsia="Arial" w:hAnsi="Arial" w:cs="Arial"/>
        </w:rPr>
        <w:t>(cursiva fuera de texto).</w:t>
      </w:r>
    </w:p>
    <w:p w:rsidR="00D35DC7" w:rsidRDefault="00982954">
      <w:pPr>
        <w:spacing w:line="360" w:lineRule="auto"/>
        <w:jc w:val="both"/>
        <w:rPr>
          <w:rFonts w:ascii="Arial" w:eastAsia="Arial" w:hAnsi="Arial" w:cs="Arial"/>
          <w:i/>
        </w:rPr>
      </w:pPr>
      <w:r>
        <w:rPr>
          <w:rFonts w:ascii="Arial" w:eastAsia="Arial" w:hAnsi="Arial" w:cs="Arial"/>
          <w:i/>
        </w:rPr>
        <w:t>(…)</w:t>
      </w:r>
    </w:p>
    <w:p w:rsidR="00D35DC7" w:rsidRDefault="00D35DC7">
      <w:pPr>
        <w:spacing w:line="360" w:lineRule="auto"/>
        <w:jc w:val="both"/>
        <w:rPr>
          <w:rFonts w:ascii="Arial" w:eastAsia="Arial" w:hAnsi="Arial" w:cs="Arial"/>
          <w:b/>
        </w:rPr>
      </w:pPr>
    </w:p>
    <w:p w:rsidR="00D35DC7" w:rsidRDefault="00982954">
      <w:pPr>
        <w:spacing w:line="360" w:lineRule="auto"/>
        <w:jc w:val="both"/>
        <w:rPr>
          <w:rFonts w:ascii="Arial" w:eastAsia="Arial" w:hAnsi="Arial" w:cs="Arial"/>
          <w:i/>
        </w:rPr>
      </w:pPr>
      <w:r>
        <w:rPr>
          <w:rFonts w:ascii="Arial" w:eastAsia="Arial" w:hAnsi="Arial" w:cs="Arial"/>
          <w:i/>
        </w:rPr>
        <w:t>Artículo 322°. Distrito Capital régimen especial:</w:t>
      </w:r>
    </w:p>
    <w:p w:rsidR="00D35DC7" w:rsidRDefault="00982954">
      <w:pPr>
        <w:spacing w:line="360" w:lineRule="auto"/>
        <w:jc w:val="both"/>
        <w:rPr>
          <w:rFonts w:ascii="Arial" w:eastAsia="Arial" w:hAnsi="Arial" w:cs="Arial"/>
          <w:i/>
        </w:rPr>
      </w:pPr>
      <w:r>
        <w:rPr>
          <w:rFonts w:ascii="Arial" w:eastAsia="Arial" w:hAnsi="Arial" w:cs="Arial"/>
          <w:i/>
        </w:rPr>
        <w:t>“Bogotá, Capital de la República y el Departamento de Cundinamarca, se organiza como Distrito Capital.</w:t>
      </w:r>
    </w:p>
    <w:p w:rsidR="00D35DC7" w:rsidRDefault="00982954">
      <w:pPr>
        <w:spacing w:line="360" w:lineRule="auto"/>
        <w:jc w:val="both"/>
        <w:rPr>
          <w:rFonts w:ascii="Arial" w:eastAsia="Arial" w:hAnsi="Arial" w:cs="Arial"/>
        </w:rPr>
      </w:pPr>
      <w:r>
        <w:rPr>
          <w:rFonts w:ascii="Arial" w:eastAsia="Arial" w:hAnsi="Arial" w:cs="Arial"/>
          <w:i/>
        </w:rPr>
        <w:t xml:space="preserve">A las autoridades distritales corresponderá garantizar el desarrollo armónico e integrado de la ciudad y la eficiente prestación de los servicios a cargo del Distrito; a las locales, la gestión de los asuntos propios de su territorio”. </w:t>
      </w:r>
      <w:r>
        <w:rPr>
          <w:rFonts w:ascii="Arial" w:eastAsia="Arial" w:hAnsi="Arial" w:cs="Arial"/>
        </w:rPr>
        <w:t>(cursiva fuera de texto).</w:t>
      </w:r>
    </w:p>
    <w:p w:rsidR="00D35DC7" w:rsidRDefault="00D35DC7">
      <w:pPr>
        <w:spacing w:line="360" w:lineRule="auto"/>
        <w:jc w:val="both"/>
        <w:rPr>
          <w:rFonts w:ascii="Arial" w:eastAsia="Arial" w:hAnsi="Arial" w:cs="Arial"/>
          <w:b/>
        </w:rPr>
      </w:pPr>
    </w:p>
    <w:p w:rsidR="00D35DC7" w:rsidRDefault="00982954">
      <w:pPr>
        <w:spacing w:line="360" w:lineRule="auto"/>
        <w:jc w:val="both"/>
        <w:rPr>
          <w:rFonts w:ascii="Arial" w:eastAsia="Arial" w:hAnsi="Arial" w:cs="Arial"/>
          <w:i/>
        </w:rPr>
      </w:pPr>
      <w:r>
        <w:rPr>
          <w:rFonts w:ascii="Arial" w:eastAsia="Arial" w:hAnsi="Arial" w:cs="Arial"/>
          <w:i/>
        </w:rPr>
        <w:t>Artículo 339. Modificado por el art. 2, Acto Legislativo 003 de 2011. &lt;El nuevo texto del inciso primero es el siguiente&gt; Habrá un Plan Nacional de Desarrollo conformado por una parte general y un plan de inversiones de las entidades públicas del orden nacional. En la parte general se señalarán los propósitos y objetivos nacionales de largo plazo, las metas y prioridades de la acción estatal a mediano plazo y las estrategias y orientaciones generales de la política económica, social y ambiental que serán adoptadas por el Gobierno. El plan de inversiones públicas contendrá los presupuestos plurianuales de los principales programas y proyectos de inversión pública nacional y la especificación de los recursos financieros requeridos para su ejecución, dentro de un marco que garantice la sostenibilidad fiscal.</w:t>
      </w:r>
    </w:p>
    <w:p w:rsidR="00D35DC7" w:rsidRDefault="00D35DC7">
      <w:pPr>
        <w:spacing w:line="360" w:lineRule="auto"/>
        <w:jc w:val="both"/>
        <w:rPr>
          <w:rFonts w:ascii="Arial" w:eastAsia="Arial" w:hAnsi="Arial" w:cs="Arial"/>
          <w:i/>
        </w:rPr>
      </w:pPr>
    </w:p>
    <w:p w:rsidR="00D35DC7" w:rsidRDefault="00982954">
      <w:pPr>
        <w:spacing w:line="360" w:lineRule="auto"/>
        <w:jc w:val="both"/>
        <w:rPr>
          <w:rFonts w:ascii="Arial" w:eastAsia="Arial" w:hAnsi="Arial" w:cs="Arial"/>
        </w:rPr>
      </w:pPr>
      <w:r>
        <w:rPr>
          <w:rFonts w:ascii="Arial" w:eastAsia="Arial" w:hAnsi="Arial" w:cs="Arial"/>
          <w:i/>
        </w:rPr>
        <w:t xml:space="preserve">Las entidades territoriales elaborarán y adoptarán de manera concertada entre ellas y el gobierno nacional, planes de desarrollo, con el objeto de asegurar el uso eficiente de sus recursos y el desempeño adecuado de las funciones que les hayan sido asignadas por la Constitución y la ley. Los planes de las entidades territoriales estarán conformados por una parte estratégica y un plan de inversiones de mediano y corto plazo. </w:t>
      </w:r>
      <w:r>
        <w:rPr>
          <w:rFonts w:ascii="Arial" w:eastAsia="Arial" w:hAnsi="Arial" w:cs="Arial"/>
        </w:rPr>
        <w:t>(cursiva fuera de texto).</w:t>
      </w:r>
    </w:p>
    <w:p w:rsidR="00D35DC7" w:rsidRDefault="00D35DC7">
      <w:pPr>
        <w:spacing w:line="360" w:lineRule="auto"/>
        <w:jc w:val="both"/>
        <w:rPr>
          <w:rFonts w:ascii="Arial" w:eastAsia="Arial" w:hAnsi="Arial" w:cs="Arial"/>
          <w:b/>
        </w:rPr>
      </w:pPr>
    </w:p>
    <w:p w:rsidR="00D35DC7" w:rsidRDefault="00982954">
      <w:pPr>
        <w:spacing w:line="360" w:lineRule="auto"/>
        <w:jc w:val="both"/>
        <w:rPr>
          <w:rFonts w:ascii="Arial" w:eastAsia="Arial" w:hAnsi="Arial" w:cs="Arial"/>
          <w:b/>
        </w:rPr>
      </w:pPr>
      <w:r>
        <w:rPr>
          <w:rFonts w:ascii="Arial" w:eastAsia="Arial" w:hAnsi="Arial" w:cs="Arial"/>
          <w:b/>
        </w:rPr>
        <w:t>3.2. Del Orden Legal:</w:t>
      </w:r>
    </w:p>
    <w:p w:rsidR="00D35DC7" w:rsidRDefault="00D35DC7">
      <w:pPr>
        <w:spacing w:line="360" w:lineRule="auto"/>
        <w:jc w:val="both"/>
        <w:rPr>
          <w:rFonts w:ascii="Arial" w:eastAsia="Arial" w:hAnsi="Arial" w:cs="Arial"/>
          <w:b/>
        </w:rPr>
      </w:pPr>
    </w:p>
    <w:p w:rsidR="00D35DC7" w:rsidRDefault="00982954">
      <w:pPr>
        <w:spacing w:line="360" w:lineRule="auto"/>
        <w:jc w:val="both"/>
        <w:rPr>
          <w:rFonts w:ascii="Arial" w:eastAsia="Arial" w:hAnsi="Arial" w:cs="Arial"/>
        </w:rPr>
      </w:pPr>
      <w:r>
        <w:rPr>
          <w:rFonts w:ascii="Arial" w:eastAsia="Arial" w:hAnsi="Arial" w:cs="Arial"/>
        </w:rPr>
        <w:t xml:space="preserve">- Ley 152 DE 1994. Por la cual se establece la Ley Orgánica del Plan de Desarrollo </w:t>
      </w:r>
    </w:p>
    <w:p w:rsidR="00D35DC7" w:rsidRDefault="00D35DC7">
      <w:pPr>
        <w:spacing w:line="360" w:lineRule="auto"/>
        <w:jc w:val="both"/>
        <w:rPr>
          <w:rFonts w:ascii="Arial" w:eastAsia="Arial" w:hAnsi="Arial" w:cs="Arial"/>
        </w:rPr>
      </w:pPr>
    </w:p>
    <w:p w:rsidR="00D35DC7" w:rsidRDefault="00982954">
      <w:pPr>
        <w:spacing w:line="360" w:lineRule="auto"/>
        <w:jc w:val="both"/>
        <w:rPr>
          <w:rFonts w:ascii="Arial" w:eastAsia="Arial" w:hAnsi="Arial" w:cs="Arial"/>
        </w:rPr>
      </w:pPr>
      <w:r>
        <w:rPr>
          <w:rFonts w:ascii="Arial" w:eastAsia="Arial" w:hAnsi="Arial" w:cs="Arial"/>
          <w:i/>
        </w:rPr>
        <w:t xml:space="preserve">Artículo 1. Propósitos. La presente Ley tiene como propósito establecer los procedimientos y mecanismos para la elaboración, aprobación, ejecución, seguimiento, evaluación y control de los planes de desarrollo, así como la regulación de los demás aspectos contemplados por el artículo 342, y en general por el artículo 2 del Título XII de la constitución Política y demás normas constitucionales que se refieren al plan de desarrollo y la planificación. </w:t>
      </w:r>
      <w:r>
        <w:rPr>
          <w:rFonts w:ascii="Arial" w:eastAsia="Arial" w:hAnsi="Arial" w:cs="Arial"/>
        </w:rPr>
        <w:t>(cursiva fuera de texto).</w:t>
      </w:r>
    </w:p>
    <w:p w:rsidR="00D35DC7" w:rsidRDefault="00D35DC7">
      <w:pPr>
        <w:spacing w:line="360" w:lineRule="auto"/>
        <w:jc w:val="both"/>
        <w:rPr>
          <w:rFonts w:ascii="Arial" w:eastAsia="Arial" w:hAnsi="Arial" w:cs="Arial"/>
          <w:i/>
        </w:rPr>
      </w:pPr>
    </w:p>
    <w:p w:rsidR="00D35DC7" w:rsidRDefault="00982954">
      <w:pPr>
        <w:spacing w:line="360" w:lineRule="auto"/>
        <w:jc w:val="both"/>
        <w:rPr>
          <w:rFonts w:ascii="Arial" w:eastAsia="Arial" w:hAnsi="Arial" w:cs="Arial"/>
        </w:rPr>
      </w:pPr>
      <w:r>
        <w:rPr>
          <w:rFonts w:ascii="Arial" w:eastAsia="Arial" w:hAnsi="Arial" w:cs="Arial"/>
          <w:i/>
        </w:rPr>
        <w:t xml:space="preserve">Artículo 2. Ámbito de aplicación. La Ley Orgánica del Plan de Desarrollo se aplicará a la Nación, las entidades territoriales y los organismos públicos de todo orden. </w:t>
      </w:r>
      <w:r>
        <w:rPr>
          <w:rFonts w:ascii="Arial" w:eastAsia="Arial" w:hAnsi="Arial" w:cs="Arial"/>
        </w:rPr>
        <w:t>(cursiva fuera de texto).</w:t>
      </w:r>
    </w:p>
    <w:p w:rsidR="00D35DC7" w:rsidRDefault="00D35DC7">
      <w:pPr>
        <w:spacing w:line="360" w:lineRule="auto"/>
        <w:jc w:val="both"/>
        <w:rPr>
          <w:rFonts w:ascii="Arial" w:eastAsia="Arial" w:hAnsi="Arial" w:cs="Arial"/>
        </w:rPr>
      </w:pPr>
    </w:p>
    <w:p w:rsidR="00D35DC7" w:rsidRDefault="00982954">
      <w:pPr>
        <w:spacing w:line="360" w:lineRule="auto"/>
        <w:jc w:val="both"/>
        <w:rPr>
          <w:rFonts w:ascii="Arial" w:eastAsia="Arial" w:hAnsi="Arial" w:cs="Arial"/>
        </w:rPr>
      </w:pPr>
      <w:r>
        <w:rPr>
          <w:rFonts w:ascii="Arial" w:eastAsia="Arial" w:hAnsi="Arial" w:cs="Arial"/>
          <w:i/>
        </w:rPr>
        <w:t>Artículo 31. Contenido de los planes de desarrollo de las entidades territoriales. Los planes de desarrollo de las entidades territoriales estarán conformados por una parte estratégica y un plan de inversiones a mediano y corto plazo, en los términos y condiciones que de manera general reglamenten las Asambleas Departamentales y los Concejos Distritales y Municipales o las autoridades administrativas que hicieren sus veces, siguiendo los criterios de formulación, establecidos en la presente Ley. (</w:t>
      </w:r>
      <w:r>
        <w:rPr>
          <w:rFonts w:ascii="Arial" w:eastAsia="Arial" w:hAnsi="Arial" w:cs="Arial"/>
        </w:rPr>
        <w:t>cursiva fuera de texto).</w:t>
      </w:r>
    </w:p>
    <w:p w:rsidR="00D35DC7" w:rsidRDefault="00D35DC7">
      <w:pPr>
        <w:spacing w:line="360" w:lineRule="auto"/>
        <w:jc w:val="both"/>
        <w:rPr>
          <w:rFonts w:ascii="Arial" w:eastAsia="Arial" w:hAnsi="Arial" w:cs="Arial"/>
        </w:rPr>
      </w:pPr>
    </w:p>
    <w:p w:rsidR="00D35DC7" w:rsidRDefault="00982954">
      <w:pPr>
        <w:spacing w:line="360" w:lineRule="auto"/>
        <w:jc w:val="both"/>
        <w:rPr>
          <w:rFonts w:ascii="Arial" w:eastAsia="Arial" w:hAnsi="Arial" w:cs="Arial"/>
          <w:i/>
        </w:rPr>
      </w:pPr>
      <w:r>
        <w:rPr>
          <w:rFonts w:ascii="Arial" w:eastAsia="Arial" w:hAnsi="Arial" w:cs="Arial"/>
          <w:i/>
        </w:rPr>
        <w:t>Artículo 32. Alcance de la planeación en las entidades territoriales. Las entidades territoriales tienen autonomía en materia de planeación del desarrollo económico, social y de la gestión ambiental, en el marco de las competencias, recursos y responsabilidades que les han atribuido la Constitución y la Ley.</w:t>
      </w:r>
    </w:p>
    <w:p w:rsidR="00D35DC7" w:rsidRDefault="00D35DC7">
      <w:pPr>
        <w:spacing w:line="360" w:lineRule="auto"/>
        <w:jc w:val="both"/>
        <w:rPr>
          <w:rFonts w:ascii="Arial" w:eastAsia="Arial" w:hAnsi="Arial" w:cs="Arial"/>
          <w:i/>
        </w:rPr>
      </w:pPr>
    </w:p>
    <w:p w:rsidR="00D35DC7" w:rsidRDefault="00982954">
      <w:pPr>
        <w:spacing w:line="360" w:lineRule="auto"/>
        <w:jc w:val="both"/>
        <w:rPr>
          <w:rFonts w:ascii="Arial" w:eastAsia="Arial" w:hAnsi="Arial" w:cs="Arial"/>
        </w:rPr>
      </w:pPr>
      <w:r>
        <w:rPr>
          <w:rFonts w:ascii="Arial" w:eastAsia="Arial" w:hAnsi="Arial" w:cs="Arial"/>
          <w:i/>
        </w:rPr>
        <w:t xml:space="preserve">Los planes de desarrollo de las entidades territoriales, sin prejuicio de su autonomía, deberán tener en cuenta para su elaboración las políticas y estrategias del Plan Nacional de desarrollo para garantizar la coherencia. </w:t>
      </w:r>
      <w:r>
        <w:rPr>
          <w:rFonts w:ascii="Arial" w:eastAsia="Arial" w:hAnsi="Arial" w:cs="Arial"/>
        </w:rPr>
        <w:t>(cursiva fuera de texto).</w:t>
      </w:r>
    </w:p>
    <w:p w:rsidR="00D35DC7" w:rsidRDefault="00D35DC7">
      <w:pPr>
        <w:spacing w:line="360" w:lineRule="auto"/>
        <w:jc w:val="both"/>
        <w:rPr>
          <w:rFonts w:ascii="Arial" w:eastAsia="Arial" w:hAnsi="Arial" w:cs="Arial"/>
        </w:rPr>
      </w:pPr>
    </w:p>
    <w:p w:rsidR="00D35DC7" w:rsidRDefault="00982954">
      <w:pPr>
        <w:spacing w:line="360" w:lineRule="auto"/>
        <w:jc w:val="both"/>
        <w:rPr>
          <w:rFonts w:ascii="Arial" w:eastAsia="Arial" w:hAnsi="Arial" w:cs="Arial"/>
          <w:i/>
        </w:rPr>
      </w:pPr>
      <w:r>
        <w:rPr>
          <w:rFonts w:ascii="Arial" w:eastAsia="Arial" w:hAnsi="Arial" w:cs="Arial"/>
          <w:i/>
        </w:rPr>
        <w:t>- Decreto Ley 1421 de 1993: Estatuto Orgánico de Bogotá D.C.</w:t>
      </w:r>
    </w:p>
    <w:p w:rsidR="00D35DC7" w:rsidRDefault="00D35DC7">
      <w:pPr>
        <w:spacing w:line="360" w:lineRule="auto"/>
        <w:jc w:val="both"/>
        <w:rPr>
          <w:rFonts w:ascii="Arial" w:eastAsia="Arial" w:hAnsi="Arial" w:cs="Arial"/>
          <w:i/>
        </w:rPr>
      </w:pPr>
    </w:p>
    <w:p w:rsidR="00D35DC7" w:rsidRDefault="00982954">
      <w:pPr>
        <w:spacing w:line="360" w:lineRule="auto"/>
        <w:jc w:val="both"/>
        <w:rPr>
          <w:rFonts w:ascii="Arial" w:eastAsia="Arial" w:hAnsi="Arial" w:cs="Arial"/>
          <w:i/>
        </w:rPr>
      </w:pPr>
      <w:r>
        <w:rPr>
          <w:rFonts w:ascii="Arial" w:eastAsia="Arial" w:hAnsi="Arial" w:cs="Arial"/>
          <w:i/>
        </w:rPr>
        <w:t>Artículo 8°. Funciones generales Concejo de Bogotá:</w:t>
      </w:r>
    </w:p>
    <w:p w:rsidR="00D35DC7" w:rsidRDefault="00D35DC7">
      <w:pPr>
        <w:spacing w:line="360" w:lineRule="auto"/>
        <w:jc w:val="both"/>
        <w:rPr>
          <w:rFonts w:ascii="Arial" w:eastAsia="Arial" w:hAnsi="Arial" w:cs="Arial"/>
          <w:i/>
        </w:rPr>
      </w:pPr>
    </w:p>
    <w:p w:rsidR="00D35DC7" w:rsidRDefault="00982954">
      <w:pPr>
        <w:spacing w:line="360" w:lineRule="auto"/>
        <w:jc w:val="both"/>
        <w:rPr>
          <w:rFonts w:ascii="Arial" w:eastAsia="Arial" w:hAnsi="Arial" w:cs="Arial"/>
        </w:rPr>
      </w:pPr>
      <w:r>
        <w:rPr>
          <w:rFonts w:ascii="Arial" w:eastAsia="Arial" w:hAnsi="Arial" w:cs="Arial"/>
          <w:i/>
        </w:rPr>
        <w:t>El Concejo es la suprema autoridad del Distrito Capital. En materia administrativa sus atribuciones son de carácter normativo. También le corresponde vigilar y controlar la gestión que cumplan las autoridades distritales.</w:t>
      </w:r>
      <w:r>
        <w:rPr>
          <w:rFonts w:ascii="Arial" w:eastAsia="Arial" w:hAnsi="Arial" w:cs="Arial"/>
        </w:rPr>
        <w:t xml:space="preserve"> (Cursiva fuera de texto).</w:t>
      </w:r>
    </w:p>
    <w:p w:rsidR="00D35DC7" w:rsidRDefault="00D35DC7">
      <w:pPr>
        <w:spacing w:line="360" w:lineRule="auto"/>
        <w:jc w:val="both"/>
        <w:rPr>
          <w:rFonts w:ascii="Arial" w:eastAsia="Arial" w:hAnsi="Arial" w:cs="Arial"/>
        </w:rPr>
      </w:pPr>
    </w:p>
    <w:p w:rsidR="00D35DC7" w:rsidRDefault="00D35DC7">
      <w:pPr>
        <w:spacing w:line="360" w:lineRule="auto"/>
        <w:jc w:val="both"/>
        <w:rPr>
          <w:rFonts w:ascii="Arial" w:eastAsia="Arial" w:hAnsi="Arial" w:cs="Arial"/>
        </w:rPr>
      </w:pPr>
    </w:p>
    <w:p w:rsidR="00D35DC7" w:rsidRDefault="00982954">
      <w:pPr>
        <w:spacing w:line="360" w:lineRule="auto"/>
        <w:jc w:val="both"/>
        <w:rPr>
          <w:rFonts w:ascii="Arial" w:eastAsia="Arial" w:hAnsi="Arial" w:cs="Arial"/>
          <w:i/>
        </w:rPr>
      </w:pPr>
      <w:r>
        <w:rPr>
          <w:rFonts w:ascii="Arial" w:eastAsia="Arial" w:hAnsi="Arial" w:cs="Arial"/>
          <w:i/>
        </w:rPr>
        <w:t>Artículo 12°. Atribuciones:</w:t>
      </w:r>
    </w:p>
    <w:p w:rsidR="00D35DC7" w:rsidRDefault="00982954">
      <w:pPr>
        <w:spacing w:line="360" w:lineRule="auto"/>
        <w:jc w:val="both"/>
        <w:rPr>
          <w:rFonts w:ascii="Arial" w:eastAsia="Arial" w:hAnsi="Arial" w:cs="Arial"/>
          <w:i/>
        </w:rPr>
      </w:pPr>
      <w:r>
        <w:rPr>
          <w:rFonts w:ascii="Arial" w:eastAsia="Arial" w:hAnsi="Arial" w:cs="Arial"/>
          <w:i/>
        </w:rPr>
        <w:t>Corresponde al Concejo Distrital, de conformidad con la Constitución y a la ley:</w:t>
      </w:r>
    </w:p>
    <w:p w:rsidR="00D35DC7" w:rsidRDefault="00D35DC7">
      <w:pPr>
        <w:spacing w:line="360" w:lineRule="auto"/>
        <w:jc w:val="both"/>
        <w:rPr>
          <w:rFonts w:ascii="Arial" w:eastAsia="Arial" w:hAnsi="Arial" w:cs="Arial"/>
          <w:i/>
        </w:rPr>
      </w:pPr>
    </w:p>
    <w:p w:rsidR="00D35DC7" w:rsidRDefault="00982954">
      <w:pPr>
        <w:spacing w:line="360" w:lineRule="auto"/>
        <w:jc w:val="both"/>
        <w:rPr>
          <w:rFonts w:ascii="Arial" w:eastAsia="Arial" w:hAnsi="Arial" w:cs="Arial"/>
        </w:rPr>
      </w:pPr>
      <w:r>
        <w:rPr>
          <w:rFonts w:ascii="Arial" w:eastAsia="Arial" w:hAnsi="Arial" w:cs="Arial"/>
          <w:i/>
        </w:rPr>
        <w:t>2. Adoptar el Plan General de Desarrollo Económico y Social y de Obras Públicas. El plan de inversiones, que hace parte del Plan General de Desarrollo, contendrá los presupuestos plurianuales de los principales programas y proyectos y la determinación de los recursos financieros requeridos para su ejecución”.</w:t>
      </w:r>
      <w:r>
        <w:rPr>
          <w:rFonts w:ascii="Arial" w:eastAsia="Arial" w:hAnsi="Arial" w:cs="Arial"/>
        </w:rPr>
        <w:t xml:space="preserve"> (cursiva fuera de texto).</w:t>
      </w:r>
    </w:p>
    <w:p w:rsidR="00D35DC7" w:rsidRDefault="00D35DC7">
      <w:pPr>
        <w:spacing w:line="360" w:lineRule="auto"/>
        <w:jc w:val="both"/>
        <w:rPr>
          <w:rFonts w:ascii="Arial" w:eastAsia="Arial" w:hAnsi="Arial" w:cs="Arial"/>
        </w:rPr>
      </w:pPr>
    </w:p>
    <w:p w:rsidR="00D35DC7" w:rsidRDefault="00982954">
      <w:pPr>
        <w:spacing w:line="360" w:lineRule="auto"/>
        <w:jc w:val="both"/>
        <w:rPr>
          <w:rFonts w:ascii="Arial" w:eastAsia="Arial" w:hAnsi="Arial" w:cs="Arial"/>
          <w:i/>
        </w:rPr>
      </w:pPr>
      <w:r>
        <w:rPr>
          <w:rFonts w:ascii="Arial" w:eastAsia="Arial" w:hAnsi="Arial" w:cs="Arial"/>
          <w:i/>
        </w:rPr>
        <w:t>Artículo 137°. Prioridad del gasto social:</w:t>
      </w:r>
    </w:p>
    <w:p w:rsidR="00D35DC7" w:rsidRDefault="00982954">
      <w:pPr>
        <w:spacing w:line="360" w:lineRule="auto"/>
        <w:jc w:val="both"/>
        <w:rPr>
          <w:rFonts w:ascii="Arial" w:eastAsia="Arial" w:hAnsi="Arial" w:cs="Arial"/>
          <w:i/>
        </w:rPr>
      </w:pPr>
      <w:r>
        <w:rPr>
          <w:rFonts w:ascii="Arial" w:eastAsia="Arial" w:hAnsi="Arial" w:cs="Arial"/>
          <w:i/>
        </w:rPr>
        <w:t>En los planes y presupuesto del Distrito, el gasto público social tendrá prioridad.</w:t>
      </w:r>
    </w:p>
    <w:p w:rsidR="00D35DC7" w:rsidRDefault="00982954">
      <w:pPr>
        <w:spacing w:line="360" w:lineRule="auto"/>
        <w:jc w:val="both"/>
        <w:rPr>
          <w:rFonts w:ascii="Arial" w:eastAsia="Arial" w:hAnsi="Arial" w:cs="Arial"/>
        </w:rPr>
      </w:pPr>
      <w:r>
        <w:rPr>
          <w:rFonts w:ascii="Arial" w:eastAsia="Arial" w:hAnsi="Arial" w:cs="Arial"/>
          <w:i/>
        </w:rPr>
        <w:t>El bienestar general y el mejoramiento de la calidad de vida de la población son finalidades sociales del Distrito. Será propósito fundamental de su actividad la solución de las necesidades insatisfechas de salud, saneamiento ambiental y agua potable.</w:t>
      </w:r>
      <w:r>
        <w:rPr>
          <w:rFonts w:ascii="Arial" w:eastAsia="Arial" w:hAnsi="Arial" w:cs="Arial"/>
        </w:rPr>
        <w:t xml:space="preserve"> (Cursiva fuera de texto).</w:t>
      </w:r>
    </w:p>
    <w:p w:rsidR="00D35DC7" w:rsidRDefault="00D35DC7">
      <w:pPr>
        <w:spacing w:line="360" w:lineRule="auto"/>
        <w:jc w:val="both"/>
        <w:rPr>
          <w:rFonts w:ascii="Arial" w:eastAsia="Arial" w:hAnsi="Arial" w:cs="Arial"/>
        </w:rPr>
      </w:pPr>
    </w:p>
    <w:p w:rsidR="00D35DC7" w:rsidRDefault="00982954">
      <w:pPr>
        <w:spacing w:line="360" w:lineRule="auto"/>
        <w:jc w:val="both"/>
        <w:rPr>
          <w:rFonts w:ascii="Arial" w:eastAsia="Arial" w:hAnsi="Arial" w:cs="Arial"/>
        </w:rPr>
      </w:pPr>
      <w:r>
        <w:rPr>
          <w:rFonts w:ascii="Arial" w:eastAsia="Arial" w:hAnsi="Arial" w:cs="Arial"/>
        </w:rPr>
        <w:t>- Ley 2294 de 2023. Por el cual se expide el plan nacional de desarrollo 2022- 2026 “Colombia potencia mundial de la vida.</w:t>
      </w:r>
    </w:p>
    <w:p w:rsidR="00D35DC7" w:rsidRDefault="00D35DC7">
      <w:pPr>
        <w:spacing w:line="360" w:lineRule="auto"/>
        <w:jc w:val="both"/>
        <w:rPr>
          <w:rFonts w:ascii="Arial" w:eastAsia="Arial" w:hAnsi="Arial" w:cs="Arial"/>
        </w:rPr>
      </w:pPr>
    </w:p>
    <w:p w:rsidR="00D35DC7" w:rsidRDefault="00982954">
      <w:pPr>
        <w:spacing w:line="360" w:lineRule="auto"/>
        <w:jc w:val="both"/>
        <w:rPr>
          <w:rFonts w:ascii="Arial" w:eastAsia="Arial" w:hAnsi="Arial" w:cs="Arial"/>
          <w:i/>
        </w:rPr>
      </w:pPr>
      <w:r>
        <w:rPr>
          <w:rFonts w:ascii="Arial" w:eastAsia="Arial" w:hAnsi="Arial" w:cs="Arial"/>
          <w:i/>
        </w:rPr>
        <w:t>Artículo 28. REGIONES AUTONÓMICAS. El Gobierno Nacional desarrollará, articulará e impulsará las Regiones Autonómicas, como un pilar que permita una gestión pública eficiente para el desarrollo económico, social, ambiental, cultural y étnico que redunde en el mejoramiento de la calidad de vida de los habitantes. Podrán adelantarse los siguientes lineamientos:</w:t>
      </w:r>
    </w:p>
    <w:p w:rsidR="00D35DC7" w:rsidRDefault="00D35DC7">
      <w:pPr>
        <w:spacing w:line="360" w:lineRule="auto"/>
        <w:jc w:val="both"/>
        <w:rPr>
          <w:rFonts w:ascii="Arial" w:eastAsia="Arial" w:hAnsi="Arial" w:cs="Arial"/>
          <w:i/>
        </w:rPr>
      </w:pPr>
    </w:p>
    <w:p w:rsidR="00D35DC7" w:rsidRDefault="00982954">
      <w:pPr>
        <w:spacing w:line="360" w:lineRule="auto"/>
        <w:jc w:val="both"/>
        <w:rPr>
          <w:rFonts w:ascii="Arial" w:eastAsia="Arial" w:hAnsi="Arial" w:cs="Arial"/>
          <w:i/>
        </w:rPr>
      </w:pPr>
      <w:r>
        <w:rPr>
          <w:rFonts w:ascii="Arial" w:eastAsia="Arial" w:hAnsi="Arial" w:cs="Arial"/>
          <w:i/>
        </w:rPr>
        <w:t>1. Facilitar la coordinación y articulación de acciones e inversiones sectoriales en el territorio, con el fin de estructurar programas y proyectos integrales que atiendan las particularidades regionales y promuevan su desarrollo.</w:t>
      </w:r>
    </w:p>
    <w:p w:rsidR="00D35DC7" w:rsidRDefault="00D35DC7">
      <w:pPr>
        <w:spacing w:line="360" w:lineRule="auto"/>
        <w:jc w:val="both"/>
        <w:rPr>
          <w:rFonts w:ascii="Arial" w:eastAsia="Arial" w:hAnsi="Arial" w:cs="Arial"/>
          <w:i/>
        </w:rPr>
      </w:pPr>
    </w:p>
    <w:p w:rsidR="00D35DC7" w:rsidRDefault="00982954">
      <w:pPr>
        <w:spacing w:line="360" w:lineRule="auto"/>
        <w:jc w:val="both"/>
        <w:rPr>
          <w:rFonts w:ascii="Arial" w:eastAsia="Arial" w:hAnsi="Arial" w:cs="Arial"/>
          <w:i/>
        </w:rPr>
      </w:pPr>
      <w:r>
        <w:rPr>
          <w:rFonts w:ascii="Arial" w:eastAsia="Arial" w:hAnsi="Arial" w:cs="Arial"/>
          <w:i/>
        </w:rPr>
        <w:t>2. Diseñar e implementar políticas públicas que faciliten el desarrollo regional de corto, mediano y largo plazo.</w:t>
      </w:r>
    </w:p>
    <w:p w:rsidR="00D35DC7" w:rsidRDefault="00D35DC7">
      <w:pPr>
        <w:spacing w:line="360" w:lineRule="auto"/>
        <w:jc w:val="both"/>
        <w:rPr>
          <w:rFonts w:ascii="Arial" w:eastAsia="Arial" w:hAnsi="Arial" w:cs="Arial"/>
          <w:i/>
        </w:rPr>
      </w:pPr>
    </w:p>
    <w:p w:rsidR="00D35DC7" w:rsidRDefault="00982954">
      <w:pPr>
        <w:spacing w:line="360" w:lineRule="auto"/>
        <w:jc w:val="both"/>
        <w:rPr>
          <w:rFonts w:ascii="Arial" w:eastAsia="Arial" w:hAnsi="Arial" w:cs="Arial"/>
          <w:i/>
        </w:rPr>
      </w:pPr>
      <w:r>
        <w:rPr>
          <w:rFonts w:ascii="Arial" w:eastAsia="Arial" w:hAnsi="Arial" w:cs="Arial"/>
          <w:i/>
        </w:rPr>
        <w:t>3. Orientar los presupuestos de inversión anual, focalizando el gasto público en las regiones de menores condiciones sociales y económicas para elevar la calidad de vida de la población y movilizar sus capacidades de desarrollo.</w:t>
      </w:r>
    </w:p>
    <w:p w:rsidR="00D35DC7" w:rsidRDefault="00D35DC7">
      <w:pPr>
        <w:spacing w:line="360" w:lineRule="auto"/>
        <w:jc w:val="both"/>
        <w:rPr>
          <w:rFonts w:ascii="Arial" w:eastAsia="Arial" w:hAnsi="Arial" w:cs="Arial"/>
          <w:i/>
        </w:rPr>
      </w:pPr>
    </w:p>
    <w:p w:rsidR="00D35DC7" w:rsidRDefault="00982954">
      <w:pPr>
        <w:spacing w:line="360" w:lineRule="auto"/>
        <w:jc w:val="both"/>
        <w:rPr>
          <w:rFonts w:ascii="Arial" w:eastAsia="Arial" w:hAnsi="Arial" w:cs="Arial"/>
          <w:i/>
        </w:rPr>
      </w:pPr>
      <w:r>
        <w:rPr>
          <w:rFonts w:ascii="Arial" w:eastAsia="Arial" w:hAnsi="Arial" w:cs="Arial"/>
          <w:i/>
        </w:rPr>
        <w:t>4. Disminuir las brechas regionales institucionales, a través de asistencia técnica diferenciada que facilite el empoderamiento y autonomía regional.</w:t>
      </w:r>
    </w:p>
    <w:p w:rsidR="00D35DC7" w:rsidRDefault="00982954">
      <w:pPr>
        <w:spacing w:line="360" w:lineRule="auto"/>
        <w:jc w:val="both"/>
        <w:rPr>
          <w:rFonts w:ascii="Arial" w:eastAsia="Arial" w:hAnsi="Arial" w:cs="Arial"/>
          <w:i/>
        </w:rPr>
      </w:pPr>
      <w:r>
        <w:rPr>
          <w:rFonts w:ascii="Arial" w:eastAsia="Arial" w:hAnsi="Arial" w:cs="Arial"/>
          <w:i/>
        </w:rPr>
        <w:t>5. Estructurar un sistema de indicadores que permita el análisis y la planificación con enfoque territorial y regional, así como su seguimiento y evaluación.</w:t>
      </w:r>
    </w:p>
    <w:p w:rsidR="00D35DC7" w:rsidRDefault="00D35DC7">
      <w:pPr>
        <w:spacing w:line="360" w:lineRule="auto"/>
        <w:jc w:val="both"/>
        <w:rPr>
          <w:rFonts w:ascii="Arial" w:eastAsia="Arial" w:hAnsi="Arial" w:cs="Arial"/>
          <w:i/>
        </w:rPr>
      </w:pPr>
    </w:p>
    <w:p w:rsidR="00D35DC7" w:rsidRDefault="00982954">
      <w:pPr>
        <w:spacing w:line="360" w:lineRule="auto"/>
        <w:jc w:val="both"/>
        <w:rPr>
          <w:rFonts w:ascii="Arial" w:eastAsia="Arial" w:hAnsi="Arial" w:cs="Arial"/>
          <w:i/>
        </w:rPr>
      </w:pPr>
      <w:r>
        <w:rPr>
          <w:rFonts w:ascii="Arial" w:eastAsia="Arial" w:hAnsi="Arial" w:cs="Arial"/>
          <w:i/>
        </w:rPr>
        <w:t>6. Incorporar de manera integral, la atención y prevención del riesgo por efecto de fenómenos naturales en la planificación y gestión del desarrollo regional.</w:t>
      </w:r>
    </w:p>
    <w:p w:rsidR="00D35DC7" w:rsidRDefault="00D35DC7">
      <w:pPr>
        <w:spacing w:line="360" w:lineRule="auto"/>
        <w:jc w:val="both"/>
        <w:rPr>
          <w:rFonts w:ascii="Arial" w:eastAsia="Arial" w:hAnsi="Arial" w:cs="Arial"/>
          <w:i/>
        </w:rPr>
      </w:pPr>
    </w:p>
    <w:p w:rsidR="00D35DC7" w:rsidRDefault="00982954">
      <w:pPr>
        <w:spacing w:line="360" w:lineRule="auto"/>
        <w:jc w:val="both"/>
        <w:rPr>
          <w:rFonts w:ascii="Arial" w:eastAsia="Arial" w:hAnsi="Arial" w:cs="Arial"/>
          <w:i/>
        </w:rPr>
      </w:pPr>
      <w:r>
        <w:rPr>
          <w:rFonts w:ascii="Arial" w:eastAsia="Arial" w:hAnsi="Arial" w:cs="Arial"/>
          <w:i/>
        </w:rPr>
        <w:t>Facilitar estrategias y acciones regionales para articular los planes de desarrollo de las entidades territoriales con las políticas nacionales.</w:t>
      </w:r>
    </w:p>
    <w:p w:rsidR="00D35DC7" w:rsidRDefault="00D35DC7">
      <w:pPr>
        <w:spacing w:line="360" w:lineRule="auto"/>
        <w:jc w:val="both"/>
        <w:rPr>
          <w:rFonts w:ascii="Arial" w:eastAsia="Arial" w:hAnsi="Arial" w:cs="Arial"/>
          <w:i/>
        </w:rPr>
      </w:pPr>
    </w:p>
    <w:p w:rsidR="00D35DC7" w:rsidRDefault="00982954">
      <w:pPr>
        <w:spacing w:line="360" w:lineRule="auto"/>
        <w:jc w:val="both"/>
        <w:rPr>
          <w:rFonts w:ascii="Arial" w:eastAsia="Arial" w:hAnsi="Arial" w:cs="Arial"/>
          <w:i/>
        </w:rPr>
      </w:pPr>
      <w:r>
        <w:rPr>
          <w:rFonts w:ascii="Arial" w:eastAsia="Arial" w:hAnsi="Arial" w:cs="Arial"/>
          <w:i/>
        </w:rPr>
        <w:t>7. Formular y distribuir el presupuesto con criterios regionales.</w:t>
      </w:r>
    </w:p>
    <w:p w:rsidR="00D35DC7" w:rsidRDefault="00D35DC7">
      <w:pPr>
        <w:spacing w:line="360" w:lineRule="auto"/>
        <w:jc w:val="both"/>
        <w:rPr>
          <w:rFonts w:ascii="Arial" w:eastAsia="Arial" w:hAnsi="Arial" w:cs="Arial"/>
          <w:i/>
        </w:rPr>
      </w:pPr>
    </w:p>
    <w:p w:rsidR="00D35DC7" w:rsidRDefault="00982954">
      <w:pPr>
        <w:spacing w:line="360" w:lineRule="auto"/>
        <w:jc w:val="both"/>
        <w:rPr>
          <w:rFonts w:ascii="Arial" w:eastAsia="Arial" w:hAnsi="Arial" w:cs="Arial"/>
          <w:i/>
        </w:rPr>
      </w:pPr>
      <w:r>
        <w:rPr>
          <w:rFonts w:ascii="Arial" w:eastAsia="Arial" w:hAnsi="Arial" w:cs="Arial"/>
          <w:i/>
        </w:rPr>
        <w:t>8. Fortalecer la institucionalidad para el diseño e implementación de políticas regionales diferenciadas y autónomas.</w:t>
      </w:r>
    </w:p>
    <w:p w:rsidR="00D35DC7" w:rsidRDefault="00D35DC7">
      <w:pPr>
        <w:spacing w:line="360" w:lineRule="auto"/>
        <w:jc w:val="both"/>
        <w:rPr>
          <w:rFonts w:ascii="Arial" w:eastAsia="Arial" w:hAnsi="Arial" w:cs="Arial"/>
          <w:i/>
        </w:rPr>
      </w:pPr>
    </w:p>
    <w:p w:rsidR="00D35DC7" w:rsidRDefault="00982954">
      <w:pPr>
        <w:spacing w:line="360" w:lineRule="auto"/>
        <w:jc w:val="both"/>
        <w:rPr>
          <w:rFonts w:ascii="Arial" w:eastAsia="Arial" w:hAnsi="Arial" w:cs="Arial"/>
        </w:rPr>
      </w:pPr>
      <w:r>
        <w:rPr>
          <w:rFonts w:ascii="Arial" w:eastAsia="Arial" w:hAnsi="Arial" w:cs="Arial"/>
          <w:i/>
        </w:rPr>
        <w:t xml:space="preserve">9. Ampliar la conectividad y comunicación local y regional para reducir las brechas económicas y sociales. </w:t>
      </w:r>
      <w:r>
        <w:rPr>
          <w:rFonts w:ascii="Arial" w:eastAsia="Arial" w:hAnsi="Arial" w:cs="Arial"/>
        </w:rPr>
        <w:t>(cursiva fuera de texto).</w:t>
      </w:r>
    </w:p>
    <w:p w:rsidR="00D35DC7" w:rsidRDefault="00D35DC7">
      <w:pPr>
        <w:spacing w:line="360" w:lineRule="auto"/>
        <w:jc w:val="both"/>
        <w:rPr>
          <w:rFonts w:ascii="Arial" w:eastAsia="Arial" w:hAnsi="Arial" w:cs="Arial"/>
        </w:rPr>
      </w:pPr>
    </w:p>
    <w:p w:rsidR="00D35DC7" w:rsidRDefault="00D35DC7">
      <w:pPr>
        <w:spacing w:line="360" w:lineRule="auto"/>
        <w:jc w:val="both"/>
        <w:rPr>
          <w:rFonts w:ascii="Arial" w:eastAsia="Arial" w:hAnsi="Arial" w:cs="Arial"/>
        </w:rPr>
      </w:pPr>
    </w:p>
    <w:p w:rsidR="00D35DC7" w:rsidRDefault="00982954">
      <w:pPr>
        <w:spacing w:line="360" w:lineRule="auto"/>
        <w:jc w:val="both"/>
        <w:rPr>
          <w:rFonts w:ascii="Arial" w:eastAsia="Arial" w:hAnsi="Arial" w:cs="Arial"/>
          <w:b/>
        </w:rPr>
      </w:pPr>
      <w:r>
        <w:rPr>
          <w:rFonts w:ascii="Arial" w:eastAsia="Arial" w:hAnsi="Arial" w:cs="Arial"/>
          <w:b/>
        </w:rPr>
        <w:t>3.3 Del Orden Distrital:</w:t>
      </w:r>
    </w:p>
    <w:p w:rsidR="00D35DC7" w:rsidRDefault="00D35DC7">
      <w:pPr>
        <w:spacing w:line="360" w:lineRule="auto"/>
        <w:jc w:val="both"/>
        <w:rPr>
          <w:rFonts w:ascii="Arial" w:eastAsia="Arial" w:hAnsi="Arial" w:cs="Arial"/>
          <w:b/>
        </w:rPr>
      </w:pPr>
    </w:p>
    <w:p w:rsidR="00D35DC7" w:rsidRDefault="00982954">
      <w:pPr>
        <w:spacing w:line="360" w:lineRule="auto"/>
        <w:jc w:val="both"/>
        <w:rPr>
          <w:rFonts w:ascii="Arial" w:eastAsia="Arial" w:hAnsi="Arial" w:cs="Arial"/>
          <w:i/>
        </w:rPr>
      </w:pPr>
      <w:r>
        <w:rPr>
          <w:rFonts w:ascii="Arial" w:eastAsia="Arial" w:hAnsi="Arial" w:cs="Arial"/>
          <w:i/>
        </w:rPr>
        <w:t>Acuerdo 878 de 2023: Por medio del cual se dictan lineamientos para el Sistema Distrital de Planeación, la creación de planes de desarrollo, se garantiza la participación ciudadana en el Distrito Capital y se dictan otras disposiciones</w:t>
      </w:r>
    </w:p>
    <w:p w:rsidR="00D35DC7" w:rsidRDefault="00D35DC7">
      <w:pPr>
        <w:spacing w:line="360" w:lineRule="auto"/>
        <w:jc w:val="both"/>
        <w:rPr>
          <w:rFonts w:ascii="Arial" w:eastAsia="Arial" w:hAnsi="Arial" w:cs="Arial"/>
          <w:b/>
        </w:rPr>
      </w:pPr>
    </w:p>
    <w:p w:rsidR="00D35DC7" w:rsidRDefault="00982954">
      <w:pPr>
        <w:spacing w:line="360" w:lineRule="auto"/>
        <w:jc w:val="both"/>
        <w:rPr>
          <w:rFonts w:ascii="Arial" w:eastAsia="Arial" w:hAnsi="Arial" w:cs="Arial"/>
          <w:i/>
        </w:rPr>
      </w:pPr>
      <w:r>
        <w:rPr>
          <w:rFonts w:ascii="Arial" w:eastAsia="Arial" w:hAnsi="Arial" w:cs="Arial"/>
          <w:i/>
        </w:rPr>
        <w:t>CAPÍTULO VI</w:t>
      </w:r>
    </w:p>
    <w:p w:rsidR="00D35DC7" w:rsidRDefault="00982954">
      <w:pPr>
        <w:spacing w:line="360" w:lineRule="auto"/>
        <w:jc w:val="both"/>
        <w:rPr>
          <w:rFonts w:ascii="Arial" w:eastAsia="Arial" w:hAnsi="Arial" w:cs="Arial"/>
          <w:i/>
        </w:rPr>
      </w:pPr>
      <w:r>
        <w:rPr>
          <w:rFonts w:ascii="Arial" w:eastAsia="Arial" w:hAnsi="Arial" w:cs="Arial"/>
          <w:i/>
        </w:rPr>
        <w:t>PLAN DISTRITAL DE DESARROLLO</w:t>
      </w:r>
    </w:p>
    <w:p w:rsidR="00D35DC7" w:rsidRDefault="00D35DC7">
      <w:pPr>
        <w:spacing w:line="360" w:lineRule="auto"/>
        <w:jc w:val="both"/>
        <w:rPr>
          <w:rFonts w:ascii="Arial" w:eastAsia="Arial" w:hAnsi="Arial" w:cs="Arial"/>
        </w:rPr>
      </w:pPr>
    </w:p>
    <w:p w:rsidR="00D35DC7" w:rsidRDefault="00982954">
      <w:pPr>
        <w:spacing w:line="360" w:lineRule="auto"/>
        <w:jc w:val="both"/>
        <w:rPr>
          <w:rFonts w:ascii="Arial" w:eastAsia="Arial" w:hAnsi="Arial" w:cs="Arial"/>
        </w:rPr>
      </w:pPr>
      <w:r>
        <w:rPr>
          <w:rFonts w:ascii="Arial" w:eastAsia="Arial" w:hAnsi="Arial" w:cs="Arial"/>
          <w:i/>
        </w:rPr>
        <w:t>Artículo 40. CAMPO DE APLICACIÓN. El Distrito Capital de Bogotá, deberá formular, aprobar, ejecutar y evaluar el Plan de Desarrollo Económico y Social y de Obras Públicas, de conformidad con las normas previstas en el presente Acuerdo, la Constitución Nacional, el Estatuto Orgánico de Planeación, la Ley 152 de 1994 y las que la sustituyan o modifiquen, y demás normas concordantes, teniendo en cuenta el Distrito Capital con sus componentes administrativos como un todo que debe integrar a su vez la participación ciudadana en los procesos.</w:t>
      </w:r>
      <w:r>
        <w:rPr>
          <w:rFonts w:ascii="Arial" w:eastAsia="Arial" w:hAnsi="Arial" w:cs="Arial"/>
        </w:rPr>
        <w:t xml:space="preserve"> (Cursiva fuera de texto).</w:t>
      </w:r>
    </w:p>
    <w:p w:rsidR="00D35DC7" w:rsidRDefault="00D35DC7">
      <w:pPr>
        <w:spacing w:line="360" w:lineRule="auto"/>
        <w:jc w:val="both"/>
        <w:rPr>
          <w:rFonts w:ascii="Arial" w:eastAsia="Arial" w:hAnsi="Arial" w:cs="Arial"/>
        </w:rPr>
      </w:pPr>
    </w:p>
    <w:p w:rsidR="00D35DC7" w:rsidRDefault="00982954">
      <w:pPr>
        <w:spacing w:line="360" w:lineRule="auto"/>
        <w:jc w:val="both"/>
        <w:rPr>
          <w:rFonts w:ascii="Arial" w:eastAsia="Arial" w:hAnsi="Arial" w:cs="Arial"/>
          <w:i/>
        </w:rPr>
      </w:pPr>
      <w:r>
        <w:rPr>
          <w:rFonts w:ascii="Arial" w:eastAsia="Arial" w:hAnsi="Arial" w:cs="Arial"/>
          <w:i/>
        </w:rPr>
        <w:t>Artículo 41. FUNDAMENTOS. El Plan Desarrollo Distrital tendrá como fundamentos:</w:t>
      </w:r>
    </w:p>
    <w:p w:rsidR="00D35DC7" w:rsidRDefault="00982954">
      <w:pPr>
        <w:spacing w:line="360" w:lineRule="auto"/>
        <w:jc w:val="both"/>
        <w:rPr>
          <w:rFonts w:ascii="Arial" w:eastAsia="Arial" w:hAnsi="Arial" w:cs="Arial"/>
          <w:i/>
        </w:rPr>
      </w:pPr>
      <w:r>
        <w:rPr>
          <w:rFonts w:ascii="Arial" w:eastAsia="Arial" w:hAnsi="Arial" w:cs="Arial"/>
          <w:i/>
        </w:rPr>
        <w:t>a. Los planes de desarrollo y políticas nacionales, regionales y metropolitanas cuando sea el caso.</w:t>
      </w:r>
    </w:p>
    <w:p w:rsidR="00D35DC7" w:rsidRDefault="00D35DC7">
      <w:pPr>
        <w:spacing w:line="360" w:lineRule="auto"/>
        <w:jc w:val="both"/>
        <w:rPr>
          <w:rFonts w:ascii="Arial" w:eastAsia="Arial" w:hAnsi="Arial" w:cs="Arial"/>
          <w:i/>
        </w:rPr>
      </w:pPr>
    </w:p>
    <w:p w:rsidR="00D35DC7" w:rsidRDefault="00982954">
      <w:pPr>
        <w:spacing w:line="360" w:lineRule="auto"/>
        <w:jc w:val="both"/>
        <w:rPr>
          <w:rFonts w:ascii="Arial" w:eastAsia="Arial" w:hAnsi="Arial" w:cs="Arial"/>
          <w:i/>
        </w:rPr>
      </w:pPr>
      <w:r>
        <w:rPr>
          <w:rFonts w:ascii="Arial" w:eastAsia="Arial" w:hAnsi="Arial" w:cs="Arial"/>
          <w:i/>
        </w:rPr>
        <w:t>b. El programa que el Alcalde(sa) Mayor en ejercicio, haya presentado en el momento de inscribir su candidatura para tal cargo, en el cumplimiento del mandato prescrito en el artículo 259 de la Constitución Nacional.</w:t>
      </w:r>
    </w:p>
    <w:p w:rsidR="00D35DC7" w:rsidRDefault="00D35DC7">
      <w:pPr>
        <w:spacing w:line="360" w:lineRule="auto"/>
        <w:jc w:val="both"/>
        <w:rPr>
          <w:rFonts w:ascii="Arial" w:eastAsia="Arial" w:hAnsi="Arial" w:cs="Arial"/>
          <w:i/>
        </w:rPr>
      </w:pPr>
    </w:p>
    <w:p w:rsidR="00D35DC7" w:rsidRDefault="00982954">
      <w:pPr>
        <w:spacing w:line="360" w:lineRule="auto"/>
        <w:jc w:val="both"/>
        <w:rPr>
          <w:rFonts w:ascii="Arial" w:eastAsia="Arial" w:hAnsi="Arial" w:cs="Arial"/>
          <w:i/>
        </w:rPr>
      </w:pPr>
      <w:r>
        <w:rPr>
          <w:rFonts w:ascii="Arial" w:eastAsia="Arial" w:hAnsi="Arial" w:cs="Arial"/>
          <w:i/>
        </w:rPr>
        <w:t>c. El balance de la gestión y resultados del plan distrital de desarrollo vigente.</w:t>
      </w:r>
    </w:p>
    <w:p w:rsidR="00D35DC7" w:rsidRDefault="00D35DC7">
      <w:pPr>
        <w:spacing w:line="360" w:lineRule="auto"/>
        <w:jc w:val="both"/>
        <w:rPr>
          <w:rFonts w:ascii="Arial" w:eastAsia="Arial" w:hAnsi="Arial" w:cs="Arial"/>
          <w:i/>
        </w:rPr>
      </w:pPr>
    </w:p>
    <w:p w:rsidR="00D35DC7" w:rsidRDefault="00982954">
      <w:pPr>
        <w:spacing w:line="360" w:lineRule="auto"/>
        <w:jc w:val="both"/>
        <w:rPr>
          <w:rFonts w:ascii="Arial" w:eastAsia="Arial" w:hAnsi="Arial" w:cs="Arial"/>
          <w:i/>
        </w:rPr>
      </w:pPr>
      <w:r>
        <w:rPr>
          <w:rFonts w:ascii="Arial" w:eastAsia="Arial" w:hAnsi="Arial" w:cs="Arial"/>
          <w:i/>
        </w:rPr>
        <w:t>d. El diagnóstico de ciudad con variables territorializadas por localidad.</w:t>
      </w:r>
    </w:p>
    <w:p w:rsidR="00D35DC7" w:rsidRDefault="00D35DC7">
      <w:pPr>
        <w:spacing w:line="360" w:lineRule="auto"/>
        <w:jc w:val="both"/>
        <w:rPr>
          <w:rFonts w:ascii="Arial" w:eastAsia="Arial" w:hAnsi="Arial" w:cs="Arial"/>
          <w:i/>
        </w:rPr>
      </w:pPr>
    </w:p>
    <w:p w:rsidR="00D35DC7" w:rsidRDefault="00982954">
      <w:pPr>
        <w:spacing w:line="360" w:lineRule="auto"/>
        <w:jc w:val="both"/>
        <w:rPr>
          <w:rFonts w:ascii="Arial" w:eastAsia="Arial" w:hAnsi="Arial" w:cs="Arial"/>
          <w:i/>
        </w:rPr>
      </w:pPr>
      <w:r>
        <w:rPr>
          <w:rFonts w:ascii="Arial" w:eastAsia="Arial" w:hAnsi="Arial" w:cs="Arial"/>
          <w:i/>
        </w:rPr>
        <w:t>e. Las políticas públicas distritales.</w:t>
      </w:r>
    </w:p>
    <w:p w:rsidR="00D35DC7" w:rsidRDefault="00D35DC7">
      <w:pPr>
        <w:spacing w:line="360" w:lineRule="auto"/>
        <w:jc w:val="both"/>
        <w:rPr>
          <w:rFonts w:ascii="Arial" w:eastAsia="Arial" w:hAnsi="Arial" w:cs="Arial"/>
          <w:i/>
        </w:rPr>
      </w:pPr>
    </w:p>
    <w:p w:rsidR="00D35DC7" w:rsidRDefault="00982954">
      <w:pPr>
        <w:spacing w:line="360" w:lineRule="auto"/>
        <w:jc w:val="both"/>
        <w:rPr>
          <w:rFonts w:ascii="Arial" w:eastAsia="Arial" w:hAnsi="Arial" w:cs="Arial"/>
          <w:i/>
        </w:rPr>
      </w:pPr>
      <w:r>
        <w:rPr>
          <w:rFonts w:ascii="Arial" w:eastAsia="Arial" w:hAnsi="Arial" w:cs="Arial"/>
          <w:i/>
        </w:rPr>
        <w:t>f. El Plan de Ordenamiento Territorial.</w:t>
      </w:r>
    </w:p>
    <w:p w:rsidR="00D35DC7" w:rsidRDefault="00D35DC7">
      <w:pPr>
        <w:spacing w:line="360" w:lineRule="auto"/>
        <w:jc w:val="both"/>
        <w:rPr>
          <w:rFonts w:ascii="Arial" w:eastAsia="Arial" w:hAnsi="Arial" w:cs="Arial"/>
          <w:i/>
        </w:rPr>
      </w:pPr>
    </w:p>
    <w:p w:rsidR="00D35DC7" w:rsidRDefault="00982954">
      <w:pPr>
        <w:spacing w:line="360" w:lineRule="auto"/>
        <w:jc w:val="both"/>
        <w:rPr>
          <w:rFonts w:ascii="Arial" w:eastAsia="Arial" w:hAnsi="Arial" w:cs="Arial"/>
          <w:i/>
        </w:rPr>
      </w:pPr>
      <w:r>
        <w:rPr>
          <w:rFonts w:ascii="Arial" w:eastAsia="Arial" w:hAnsi="Arial" w:cs="Arial"/>
          <w:i/>
        </w:rPr>
        <w:t>g. El proceso de planeación.</w:t>
      </w:r>
    </w:p>
    <w:p w:rsidR="00D35DC7" w:rsidRDefault="00D35DC7">
      <w:pPr>
        <w:spacing w:line="360" w:lineRule="auto"/>
        <w:jc w:val="both"/>
        <w:rPr>
          <w:rFonts w:ascii="Arial" w:eastAsia="Arial" w:hAnsi="Arial" w:cs="Arial"/>
          <w:i/>
        </w:rPr>
      </w:pPr>
    </w:p>
    <w:p w:rsidR="00D35DC7" w:rsidRDefault="00982954">
      <w:pPr>
        <w:spacing w:line="360" w:lineRule="auto"/>
        <w:jc w:val="both"/>
        <w:rPr>
          <w:rFonts w:ascii="Arial" w:eastAsia="Arial" w:hAnsi="Arial" w:cs="Arial"/>
          <w:i/>
        </w:rPr>
      </w:pPr>
      <w:r>
        <w:rPr>
          <w:rFonts w:ascii="Arial" w:eastAsia="Arial" w:hAnsi="Arial" w:cs="Arial"/>
          <w:i/>
        </w:rPr>
        <w:t xml:space="preserve">h. Los aportes del proceso de participación ciudadana local y distrital. </w:t>
      </w:r>
    </w:p>
    <w:p w:rsidR="00D35DC7" w:rsidRDefault="00D35DC7">
      <w:pPr>
        <w:spacing w:line="360" w:lineRule="auto"/>
        <w:jc w:val="both"/>
        <w:rPr>
          <w:rFonts w:ascii="Arial" w:eastAsia="Arial" w:hAnsi="Arial" w:cs="Arial"/>
          <w:i/>
        </w:rPr>
      </w:pPr>
    </w:p>
    <w:p w:rsidR="00D35DC7" w:rsidRDefault="00982954">
      <w:pPr>
        <w:spacing w:line="360" w:lineRule="auto"/>
        <w:jc w:val="both"/>
        <w:rPr>
          <w:rFonts w:ascii="Arial" w:eastAsia="Arial" w:hAnsi="Arial" w:cs="Arial"/>
        </w:rPr>
      </w:pPr>
      <w:r>
        <w:rPr>
          <w:rFonts w:ascii="Arial" w:eastAsia="Arial" w:hAnsi="Arial" w:cs="Arial"/>
          <w:i/>
        </w:rPr>
        <w:t xml:space="preserve">i. Otros instrumentos de planeación distritales y compromisos internacionales del país que sean asignados a las entidades territoriales y adoptados por la ciudad. </w:t>
      </w:r>
      <w:r>
        <w:rPr>
          <w:rFonts w:ascii="Arial" w:eastAsia="Arial" w:hAnsi="Arial" w:cs="Arial"/>
        </w:rPr>
        <w:t>(Cursiva fuera de texto).</w:t>
      </w:r>
    </w:p>
    <w:p w:rsidR="00D35DC7" w:rsidRDefault="00D35DC7">
      <w:pPr>
        <w:spacing w:line="360" w:lineRule="auto"/>
        <w:jc w:val="both"/>
        <w:rPr>
          <w:rFonts w:ascii="Arial" w:eastAsia="Arial" w:hAnsi="Arial" w:cs="Arial"/>
          <w:i/>
        </w:rPr>
      </w:pPr>
    </w:p>
    <w:p w:rsidR="00D35DC7" w:rsidRDefault="00982954">
      <w:pPr>
        <w:spacing w:line="360" w:lineRule="auto"/>
        <w:jc w:val="both"/>
        <w:rPr>
          <w:rFonts w:ascii="Arial" w:eastAsia="Arial" w:hAnsi="Arial" w:cs="Arial"/>
        </w:rPr>
      </w:pPr>
      <w:r>
        <w:rPr>
          <w:rFonts w:ascii="Arial" w:eastAsia="Arial" w:hAnsi="Arial" w:cs="Arial"/>
          <w:i/>
        </w:rPr>
        <w:t xml:space="preserve">Artículo 42. PLAN DISTRITAL DE DESARROLLO. El Plan Distrital de Desarrollo, deberá ser el instrumento por el cual se vinculará y armonizará, la planeación nacional, regional y departamental, en el nivel Distrital. El Plan Distrital de Desarrollo respecto a los planes de departamentos, municipios y el Plan Nacional, tendrá en cuenta las políticas, estrategias y programas que son de interés mutuo y les dan coherencia a las acciones gubernamentales. Si durante la vigencia del Plan Distrital de Desarrollo se establecen nuevos planes en la entidad de más amplia jurisdicción, el Alcalde(sa) mayor podrá presentar al Concejo de Bogotá ajustes al presupuesto plurianual de inversiones, para hacerlo consistente con estos compromisos y/o acuerdos. </w:t>
      </w:r>
      <w:r>
        <w:rPr>
          <w:rFonts w:ascii="Arial" w:eastAsia="Arial" w:hAnsi="Arial" w:cs="Arial"/>
        </w:rPr>
        <w:t>(Cursiva fuera de texto).</w:t>
      </w:r>
    </w:p>
    <w:p w:rsidR="00D35DC7" w:rsidRDefault="00D35DC7">
      <w:pPr>
        <w:spacing w:line="360" w:lineRule="auto"/>
        <w:jc w:val="both"/>
        <w:rPr>
          <w:rFonts w:ascii="Arial" w:eastAsia="Arial" w:hAnsi="Arial" w:cs="Arial"/>
          <w:i/>
        </w:rPr>
      </w:pPr>
    </w:p>
    <w:p w:rsidR="00D35DC7" w:rsidRDefault="00982954">
      <w:pPr>
        <w:spacing w:line="360" w:lineRule="auto"/>
        <w:jc w:val="both"/>
        <w:rPr>
          <w:rFonts w:ascii="Arial" w:eastAsia="Arial" w:hAnsi="Arial" w:cs="Arial"/>
          <w:i/>
        </w:rPr>
      </w:pPr>
      <w:r>
        <w:rPr>
          <w:rFonts w:ascii="Arial" w:eastAsia="Arial" w:hAnsi="Arial" w:cs="Arial"/>
          <w:i/>
        </w:rPr>
        <w:t>Artículo 43. CONTENIDO. El Plan Distrital de Desarrollo estará conformado por una parte estratégica general, un plan de inversiones de corto y mediano plazo y un programa de ejecución del Plan de Ordenamiento Territorial, de acuerdo con lo establecido en el artículo 339 de la Constitución Nacional, articulo 18 de la Ley 388 de 1997, así como la normatividad del Régimen Presupuestal y Planeación Distrital.</w:t>
      </w:r>
    </w:p>
    <w:p w:rsidR="00D35DC7" w:rsidRDefault="00D35DC7">
      <w:pPr>
        <w:spacing w:line="360" w:lineRule="auto"/>
        <w:jc w:val="both"/>
        <w:rPr>
          <w:rFonts w:ascii="Arial" w:eastAsia="Arial" w:hAnsi="Arial" w:cs="Arial"/>
          <w:i/>
        </w:rPr>
      </w:pPr>
    </w:p>
    <w:p w:rsidR="00D35DC7" w:rsidRDefault="00982954">
      <w:pPr>
        <w:spacing w:line="360" w:lineRule="auto"/>
        <w:jc w:val="both"/>
        <w:rPr>
          <w:rFonts w:ascii="Arial" w:eastAsia="Arial" w:hAnsi="Arial" w:cs="Arial"/>
          <w:i/>
        </w:rPr>
      </w:pPr>
      <w:r>
        <w:rPr>
          <w:rFonts w:ascii="Arial" w:eastAsia="Arial" w:hAnsi="Arial" w:cs="Arial"/>
          <w:i/>
        </w:rPr>
        <w:t>A. La parte estratégica general del Plan contendrá lo siguiente:</w:t>
      </w:r>
    </w:p>
    <w:p w:rsidR="00D35DC7" w:rsidRDefault="00D35DC7">
      <w:pPr>
        <w:spacing w:line="360" w:lineRule="auto"/>
        <w:jc w:val="both"/>
        <w:rPr>
          <w:rFonts w:ascii="Arial" w:eastAsia="Arial" w:hAnsi="Arial" w:cs="Arial"/>
          <w:i/>
        </w:rPr>
      </w:pPr>
    </w:p>
    <w:p w:rsidR="00D35DC7" w:rsidRDefault="00982954">
      <w:pPr>
        <w:spacing w:line="360" w:lineRule="auto"/>
        <w:jc w:val="both"/>
        <w:rPr>
          <w:rFonts w:ascii="Arial" w:eastAsia="Arial" w:hAnsi="Arial" w:cs="Arial"/>
          <w:i/>
        </w:rPr>
      </w:pPr>
      <w:r>
        <w:rPr>
          <w:rFonts w:ascii="Arial" w:eastAsia="Arial" w:hAnsi="Arial" w:cs="Arial"/>
          <w:i/>
        </w:rPr>
        <w:t>1. La visión, objetivo general, principios y/o valores.</w:t>
      </w:r>
    </w:p>
    <w:p w:rsidR="00D35DC7" w:rsidRDefault="00D35DC7">
      <w:pPr>
        <w:spacing w:line="360" w:lineRule="auto"/>
        <w:jc w:val="both"/>
        <w:rPr>
          <w:rFonts w:ascii="Arial" w:eastAsia="Arial" w:hAnsi="Arial" w:cs="Arial"/>
          <w:i/>
        </w:rPr>
      </w:pPr>
    </w:p>
    <w:p w:rsidR="00D35DC7" w:rsidRDefault="00982954">
      <w:pPr>
        <w:spacing w:line="360" w:lineRule="auto"/>
        <w:jc w:val="both"/>
        <w:rPr>
          <w:rFonts w:ascii="Arial" w:eastAsia="Arial" w:hAnsi="Arial" w:cs="Arial"/>
          <w:i/>
        </w:rPr>
      </w:pPr>
      <w:r>
        <w:rPr>
          <w:rFonts w:ascii="Arial" w:eastAsia="Arial" w:hAnsi="Arial" w:cs="Arial"/>
          <w:i/>
        </w:rPr>
        <w:t>2. Las estrategias y políticas generales y sectoriales.</w:t>
      </w:r>
    </w:p>
    <w:p w:rsidR="00D35DC7" w:rsidRDefault="00D35DC7">
      <w:pPr>
        <w:spacing w:line="360" w:lineRule="auto"/>
        <w:jc w:val="both"/>
        <w:rPr>
          <w:rFonts w:ascii="Arial" w:eastAsia="Arial" w:hAnsi="Arial" w:cs="Arial"/>
          <w:i/>
        </w:rPr>
      </w:pPr>
    </w:p>
    <w:p w:rsidR="00D35DC7" w:rsidRDefault="00982954">
      <w:pPr>
        <w:spacing w:line="360" w:lineRule="auto"/>
        <w:jc w:val="both"/>
        <w:rPr>
          <w:rFonts w:ascii="Arial" w:eastAsia="Arial" w:hAnsi="Arial" w:cs="Arial"/>
          <w:i/>
        </w:rPr>
      </w:pPr>
      <w:r>
        <w:rPr>
          <w:rFonts w:ascii="Arial" w:eastAsia="Arial" w:hAnsi="Arial" w:cs="Arial"/>
          <w:i/>
        </w:rPr>
        <w:t>3. Los programas para desarrollar las estrategias y las políticas adoptadas. En la definición de los programas y proyectos del Plan Distrital de Desarrollo se deberán tener en cuenta las definiciones de los planes de acción de las políticas públicas, el modelo de ocupación del territorio, los programas y proyectos definidos en el programa de ejecución de obras en el corto, mediano y largo plazo del Plan de Ordenamiento Territorial.</w:t>
      </w:r>
    </w:p>
    <w:p w:rsidR="00D35DC7" w:rsidRDefault="00D35DC7">
      <w:pPr>
        <w:spacing w:line="360" w:lineRule="auto"/>
        <w:jc w:val="both"/>
        <w:rPr>
          <w:rFonts w:ascii="Arial" w:eastAsia="Arial" w:hAnsi="Arial" w:cs="Arial"/>
          <w:i/>
        </w:rPr>
      </w:pPr>
    </w:p>
    <w:p w:rsidR="00D35DC7" w:rsidRDefault="00982954">
      <w:pPr>
        <w:spacing w:line="360" w:lineRule="auto"/>
        <w:jc w:val="both"/>
        <w:rPr>
          <w:rFonts w:ascii="Arial" w:eastAsia="Arial" w:hAnsi="Arial" w:cs="Arial"/>
          <w:i/>
        </w:rPr>
      </w:pPr>
      <w:r>
        <w:rPr>
          <w:rFonts w:ascii="Arial" w:eastAsia="Arial" w:hAnsi="Arial" w:cs="Arial"/>
          <w:i/>
        </w:rPr>
        <w:t>4. Cronograma de ejecución del Plan Distrital de Desarrollo y organismos responsables.</w:t>
      </w:r>
    </w:p>
    <w:p w:rsidR="00D35DC7" w:rsidRDefault="00D35DC7">
      <w:pPr>
        <w:spacing w:line="360" w:lineRule="auto"/>
        <w:jc w:val="both"/>
        <w:rPr>
          <w:rFonts w:ascii="Arial" w:eastAsia="Arial" w:hAnsi="Arial" w:cs="Arial"/>
          <w:i/>
        </w:rPr>
      </w:pPr>
    </w:p>
    <w:p w:rsidR="00D35DC7" w:rsidRDefault="00982954">
      <w:pPr>
        <w:spacing w:line="360" w:lineRule="auto"/>
        <w:jc w:val="both"/>
        <w:rPr>
          <w:rFonts w:ascii="Arial" w:eastAsia="Arial" w:hAnsi="Arial" w:cs="Arial"/>
          <w:i/>
        </w:rPr>
      </w:pPr>
      <w:r>
        <w:rPr>
          <w:rFonts w:ascii="Arial" w:eastAsia="Arial" w:hAnsi="Arial" w:cs="Arial"/>
          <w:i/>
        </w:rPr>
        <w:t>5. Las metas e indicadores.</w:t>
      </w:r>
    </w:p>
    <w:p w:rsidR="00D35DC7" w:rsidRDefault="00D35DC7">
      <w:pPr>
        <w:spacing w:line="360" w:lineRule="auto"/>
        <w:jc w:val="both"/>
        <w:rPr>
          <w:rFonts w:ascii="Arial" w:eastAsia="Arial" w:hAnsi="Arial" w:cs="Arial"/>
          <w:i/>
        </w:rPr>
      </w:pPr>
    </w:p>
    <w:p w:rsidR="00D35DC7" w:rsidRDefault="00982954">
      <w:pPr>
        <w:spacing w:line="360" w:lineRule="auto"/>
        <w:jc w:val="both"/>
        <w:rPr>
          <w:rFonts w:ascii="Arial" w:eastAsia="Arial" w:hAnsi="Arial" w:cs="Arial"/>
          <w:i/>
        </w:rPr>
      </w:pPr>
      <w:r>
        <w:rPr>
          <w:rFonts w:ascii="Arial" w:eastAsia="Arial" w:hAnsi="Arial" w:cs="Arial"/>
          <w:i/>
        </w:rPr>
        <w:t>6. El señalamiento de las normas, medios e instrumentos de coordinación de la planeación distrital con la planeación internacional, nacional, regional, departamental, local y sectorial.</w:t>
      </w:r>
    </w:p>
    <w:p w:rsidR="00D35DC7" w:rsidRDefault="00D35DC7">
      <w:pPr>
        <w:spacing w:line="360" w:lineRule="auto"/>
        <w:jc w:val="both"/>
        <w:rPr>
          <w:rFonts w:ascii="Arial" w:eastAsia="Arial" w:hAnsi="Arial" w:cs="Arial"/>
          <w:i/>
        </w:rPr>
      </w:pPr>
    </w:p>
    <w:p w:rsidR="00D35DC7" w:rsidRDefault="00982954">
      <w:pPr>
        <w:spacing w:line="360" w:lineRule="auto"/>
        <w:jc w:val="both"/>
        <w:rPr>
          <w:rFonts w:ascii="Arial" w:eastAsia="Arial" w:hAnsi="Arial" w:cs="Arial"/>
          <w:i/>
        </w:rPr>
      </w:pPr>
      <w:r>
        <w:rPr>
          <w:rFonts w:ascii="Arial" w:eastAsia="Arial" w:hAnsi="Arial" w:cs="Arial"/>
          <w:i/>
        </w:rPr>
        <w:t>B. El Plan de inversiones. El plan de inversiones articula la parte estratégica general del plan con los recursos necesarios para su ejecución, y contendrá los presupuestos plurianuales de los proyectos prioritarios de inversión, la determinación de los recursos financieros que garanticen su ejecución y su estrategia financiera.</w:t>
      </w:r>
    </w:p>
    <w:p w:rsidR="00D35DC7" w:rsidRDefault="00D35DC7">
      <w:pPr>
        <w:spacing w:line="360" w:lineRule="auto"/>
        <w:jc w:val="both"/>
        <w:rPr>
          <w:rFonts w:ascii="Arial" w:eastAsia="Arial" w:hAnsi="Arial" w:cs="Arial"/>
          <w:i/>
        </w:rPr>
      </w:pPr>
    </w:p>
    <w:p w:rsidR="00D35DC7" w:rsidRDefault="00982954">
      <w:pPr>
        <w:spacing w:line="360" w:lineRule="auto"/>
        <w:jc w:val="both"/>
        <w:rPr>
          <w:rFonts w:ascii="Arial" w:eastAsia="Arial" w:hAnsi="Arial" w:cs="Arial"/>
          <w:i/>
        </w:rPr>
      </w:pPr>
      <w:r>
        <w:rPr>
          <w:rFonts w:ascii="Arial" w:eastAsia="Arial" w:hAnsi="Arial" w:cs="Arial"/>
          <w:i/>
        </w:rPr>
        <w:t>C. El programa de ejecución del plan de ordenamiento territorial, de acuerdo con lo definido en el correspondiente Plan Distrital de Desarrollo y según las normas, leyes y decretos que lo reglamenten y/ o modifiquen.</w:t>
      </w:r>
    </w:p>
    <w:p w:rsidR="00D35DC7" w:rsidRDefault="00D35DC7">
      <w:pPr>
        <w:spacing w:line="360" w:lineRule="auto"/>
        <w:jc w:val="both"/>
        <w:rPr>
          <w:rFonts w:ascii="Arial" w:eastAsia="Arial" w:hAnsi="Arial" w:cs="Arial"/>
          <w:i/>
        </w:rPr>
      </w:pPr>
    </w:p>
    <w:p w:rsidR="00D35DC7" w:rsidRDefault="00982954">
      <w:pPr>
        <w:spacing w:line="360" w:lineRule="auto"/>
        <w:jc w:val="both"/>
        <w:rPr>
          <w:rFonts w:ascii="Arial" w:eastAsia="Arial" w:hAnsi="Arial" w:cs="Arial"/>
        </w:rPr>
      </w:pPr>
      <w:r>
        <w:rPr>
          <w:rFonts w:ascii="Arial" w:eastAsia="Arial" w:hAnsi="Arial" w:cs="Arial"/>
          <w:i/>
        </w:rPr>
        <w:t xml:space="preserve">D. Dentro del programa de ejecución se definen las prioridades, la programación de actividades, las entidades responsables y los recursos respectivos, así como los programas y proyectos de infraestructura de transporte y servicios públicos domiciliarios y todos aquellos que se ejecutarán en el periodo correspondiente, en armonía con el programa de ejecución de obras de corto, mediano y largo plazo. </w:t>
      </w:r>
      <w:r>
        <w:rPr>
          <w:rFonts w:ascii="Arial" w:eastAsia="Arial" w:hAnsi="Arial" w:cs="Arial"/>
        </w:rPr>
        <w:t>(Cursiva fuera de texto).</w:t>
      </w:r>
    </w:p>
    <w:p w:rsidR="00D35DC7" w:rsidRDefault="00D35DC7">
      <w:pPr>
        <w:spacing w:line="360" w:lineRule="auto"/>
        <w:jc w:val="both"/>
        <w:rPr>
          <w:rFonts w:ascii="Arial" w:eastAsia="Arial" w:hAnsi="Arial" w:cs="Arial"/>
          <w:b/>
          <w:i/>
        </w:rPr>
      </w:pPr>
    </w:p>
    <w:p w:rsidR="00D35DC7" w:rsidRDefault="00982954">
      <w:pPr>
        <w:spacing w:line="360" w:lineRule="auto"/>
        <w:jc w:val="both"/>
        <w:rPr>
          <w:rFonts w:ascii="Arial" w:eastAsia="Arial" w:hAnsi="Arial" w:cs="Arial"/>
        </w:rPr>
      </w:pPr>
      <w:r>
        <w:rPr>
          <w:rFonts w:ascii="Arial" w:eastAsia="Arial" w:hAnsi="Arial" w:cs="Arial"/>
          <w:i/>
        </w:rPr>
        <w:t xml:space="preserve">Artículo 48. APROBACIÓN. Los planes serán sometidos a la consideración del Concejo de Bogotá dentro de los primeros cuatro (4) meses del período del Alcalde(sa) para su aprobación. El Concejo deberá decidir sobre los Planes dentro del mes siguiente a su presentación, y si transcurriese ese lapso sin adoptar decisión alguna, el Alcalde(sa) podrá adoptarlo mediante Decreto. Para este efecto, y si a ello hubiere lugar, el Alcalde(sa) podrá convocar a sesiones extraordinarias del Concejo Distrital. Toda modificación que pretenda introducir el Concejo debe contar con la aceptación previa y por escrito del Alcalde(sa). </w:t>
      </w:r>
      <w:r>
        <w:rPr>
          <w:rFonts w:ascii="Arial" w:eastAsia="Arial" w:hAnsi="Arial" w:cs="Arial"/>
        </w:rPr>
        <w:t>(Cursiva fuera de texto).</w:t>
      </w:r>
    </w:p>
    <w:p w:rsidR="00D35DC7" w:rsidRDefault="00D35DC7">
      <w:pPr>
        <w:spacing w:line="360" w:lineRule="auto"/>
        <w:jc w:val="both"/>
        <w:rPr>
          <w:rFonts w:ascii="Arial" w:eastAsia="Arial" w:hAnsi="Arial" w:cs="Arial"/>
        </w:rPr>
      </w:pPr>
    </w:p>
    <w:p w:rsidR="00D35DC7" w:rsidRDefault="00D35DC7">
      <w:pPr>
        <w:spacing w:line="360" w:lineRule="auto"/>
        <w:jc w:val="both"/>
        <w:rPr>
          <w:rFonts w:ascii="Arial" w:eastAsia="Arial" w:hAnsi="Arial" w:cs="Arial"/>
          <w:b/>
          <w:i/>
        </w:rPr>
      </w:pPr>
    </w:p>
    <w:p w:rsidR="00D35DC7" w:rsidRDefault="00D35DC7">
      <w:pPr>
        <w:spacing w:line="360" w:lineRule="auto"/>
        <w:jc w:val="both"/>
        <w:rPr>
          <w:rFonts w:ascii="Arial" w:eastAsia="Arial" w:hAnsi="Arial" w:cs="Arial"/>
          <w:b/>
          <w:i/>
        </w:rPr>
      </w:pPr>
    </w:p>
    <w:p w:rsidR="00D35DC7" w:rsidRDefault="00D35DC7">
      <w:pPr>
        <w:spacing w:line="360" w:lineRule="auto"/>
        <w:jc w:val="both"/>
        <w:rPr>
          <w:rFonts w:ascii="Arial" w:eastAsia="Arial" w:hAnsi="Arial" w:cs="Arial"/>
          <w:b/>
          <w:i/>
        </w:rPr>
      </w:pPr>
    </w:p>
    <w:p w:rsidR="00D35DC7" w:rsidRDefault="00D35DC7">
      <w:pPr>
        <w:spacing w:line="360" w:lineRule="auto"/>
        <w:jc w:val="both"/>
        <w:rPr>
          <w:rFonts w:ascii="Arial" w:eastAsia="Arial" w:hAnsi="Arial" w:cs="Arial"/>
          <w:b/>
          <w:i/>
        </w:rPr>
      </w:pPr>
    </w:p>
    <w:p w:rsidR="00D35DC7" w:rsidRDefault="00982954">
      <w:pPr>
        <w:spacing w:line="360" w:lineRule="auto"/>
        <w:jc w:val="center"/>
        <w:rPr>
          <w:rFonts w:ascii="Arial" w:eastAsia="Arial" w:hAnsi="Arial" w:cs="Arial"/>
          <w:b/>
        </w:rPr>
      </w:pPr>
      <w:r>
        <w:rPr>
          <w:rFonts w:ascii="Arial" w:eastAsia="Arial" w:hAnsi="Arial" w:cs="Arial"/>
          <w:b/>
        </w:rPr>
        <w:t>4. PROGRAMA DE GOBIERNO V/S PLAN DE DESARROLLO</w:t>
      </w:r>
    </w:p>
    <w:p w:rsidR="00D35DC7" w:rsidRDefault="00D35DC7">
      <w:pPr>
        <w:spacing w:line="360" w:lineRule="auto"/>
        <w:jc w:val="center"/>
        <w:rPr>
          <w:rFonts w:ascii="Arial" w:eastAsia="Arial" w:hAnsi="Arial" w:cs="Arial"/>
          <w:b/>
        </w:rPr>
      </w:pPr>
    </w:p>
    <w:p w:rsidR="00D35DC7" w:rsidRDefault="00982954">
      <w:pPr>
        <w:spacing w:line="360" w:lineRule="auto"/>
        <w:jc w:val="both"/>
        <w:rPr>
          <w:rFonts w:ascii="Arial" w:eastAsia="Arial" w:hAnsi="Arial" w:cs="Arial"/>
          <w:color w:val="333333"/>
        </w:rPr>
      </w:pPr>
      <w:r>
        <w:rPr>
          <w:rFonts w:ascii="Arial" w:eastAsia="Arial" w:hAnsi="Arial" w:cs="Arial"/>
        </w:rPr>
        <w:t>En cumplimiento del literal (h) del artículo 46 del Acuerdo 878 de 2023, p</w:t>
      </w:r>
      <w:r>
        <w:rPr>
          <w:rFonts w:ascii="Arial" w:eastAsia="Arial" w:hAnsi="Arial" w:cs="Arial"/>
          <w:color w:val="333333"/>
        </w:rPr>
        <w:t>or medio del cual se dictan lineamientos para el Sistema Distrital de Planeación, la creación de planes de desarrollo, se garantiza la participación ciudadana en el Distrito Capital y se dictan otras disposiciones, me permito anexar el comparativo entre el programa de gobierno presentado por el señor alcalde al momento de su inscripción y los objetivos del Plan de Desarrollo.</w:t>
      </w:r>
    </w:p>
    <w:p w:rsidR="00D35DC7" w:rsidRDefault="00982954">
      <w:pPr>
        <w:spacing w:line="360" w:lineRule="auto"/>
        <w:jc w:val="both"/>
        <w:rPr>
          <w:rFonts w:ascii="Arial" w:eastAsia="Arial" w:hAnsi="Arial" w:cs="Arial"/>
        </w:rPr>
      </w:pPr>
      <w:r>
        <w:rPr>
          <w:rFonts w:ascii="Arial" w:eastAsia="Arial" w:hAnsi="Arial" w:cs="Arial"/>
        </w:rPr>
        <w:t xml:space="preserve"> </w:t>
      </w:r>
    </w:p>
    <w:sdt>
      <w:sdtPr>
        <w:tag w:val="goog_rdk_0"/>
        <w:id w:val="-1333981912"/>
        <w:lock w:val="contentLocked"/>
      </w:sdtPr>
      <w:sdtEndPr/>
      <w:sdtContent>
        <w:tbl>
          <w:tblPr>
            <w:tblStyle w:val="a"/>
            <w:tblW w:w="888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3450"/>
            <w:gridCol w:w="5430"/>
          </w:tblGrid>
          <w:tr w:rsidR="00D35DC7">
            <w:trPr>
              <w:trHeight w:val="500"/>
            </w:trPr>
            <w:tc>
              <w:tcPr>
                <w:tcW w:w="3450" w:type="dxa"/>
              </w:tcPr>
              <w:p w:rsidR="00D35DC7" w:rsidRDefault="00982954">
                <w:pPr>
                  <w:shd w:val="clear" w:color="auto" w:fill="FFFFFF"/>
                  <w:spacing w:before="150"/>
                  <w:jc w:val="center"/>
                  <w:rPr>
                    <w:rFonts w:ascii="Arial" w:eastAsia="Arial" w:hAnsi="Arial" w:cs="Arial"/>
                    <w:b/>
                    <w:sz w:val="18"/>
                    <w:szCs w:val="18"/>
                  </w:rPr>
                </w:pPr>
                <w:r>
                  <w:rPr>
                    <w:rFonts w:ascii="Arial" w:eastAsia="Arial" w:hAnsi="Arial" w:cs="Arial"/>
                    <w:b/>
                    <w:sz w:val="18"/>
                    <w:szCs w:val="18"/>
                  </w:rPr>
                  <w:t>OBJETIVO PLAN DE DESARROLLO</w:t>
                </w:r>
              </w:p>
            </w:tc>
            <w:tc>
              <w:tcPr>
                <w:tcW w:w="5430" w:type="dxa"/>
              </w:tcPr>
              <w:p w:rsidR="00D35DC7" w:rsidRDefault="00982954">
                <w:pPr>
                  <w:shd w:val="clear" w:color="auto" w:fill="FFFFFF"/>
                  <w:spacing w:before="150"/>
                  <w:jc w:val="center"/>
                  <w:rPr>
                    <w:rFonts w:ascii="Arial" w:eastAsia="Arial" w:hAnsi="Arial" w:cs="Arial"/>
                    <w:b/>
                    <w:sz w:val="18"/>
                    <w:szCs w:val="18"/>
                  </w:rPr>
                </w:pPr>
                <w:r>
                  <w:rPr>
                    <w:rFonts w:ascii="Arial" w:eastAsia="Arial" w:hAnsi="Arial" w:cs="Arial"/>
                    <w:b/>
                    <w:sz w:val="18"/>
                    <w:szCs w:val="18"/>
                  </w:rPr>
                  <w:t>PROGRAMA DE GOBIERNO</w:t>
                </w:r>
              </w:p>
            </w:tc>
          </w:tr>
          <w:tr w:rsidR="00D35DC7">
            <w:trPr>
              <w:trHeight w:val="450"/>
            </w:trPr>
            <w:tc>
              <w:tcPr>
                <w:tcW w:w="345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1. Bogotá Avanza en seguridad</w:t>
                </w:r>
              </w:p>
            </w:tc>
            <w:tc>
              <w:tcPr>
                <w:tcW w:w="543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1. Plan integral contra el crimen organizado</w:t>
                </w:r>
              </w:p>
            </w:tc>
          </w:tr>
          <w:tr w:rsidR="00D35DC7">
            <w:trPr>
              <w:trHeight w:val="485"/>
            </w:trPr>
            <w:tc>
              <w:tcPr>
                <w:tcW w:w="345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1. Bogotá Avanza en seguridad</w:t>
                </w:r>
              </w:p>
            </w:tc>
            <w:tc>
              <w:tcPr>
                <w:tcW w:w="543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2. Presencia institucional permanente y control territorial</w:t>
                </w:r>
              </w:p>
            </w:tc>
          </w:tr>
          <w:tr w:rsidR="00D35DC7">
            <w:trPr>
              <w:trHeight w:val="485"/>
            </w:trPr>
            <w:tc>
              <w:tcPr>
                <w:tcW w:w="345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1. Bogotá Avanza en seguridad</w:t>
                </w:r>
              </w:p>
            </w:tc>
            <w:tc>
              <w:tcPr>
                <w:tcW w:w="543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3. Fortalecimiento de la investigación criminal y judicialización</w:t>
                </w:r>
              </w:p>
            </w:tc>
          </w:tr>
          <w:tr w:rsidR="00D35DC7">
            <w:trPr>
              <w:trHeight w:val="485"/>
            </w:trPr>
            <w:tc>
              <w:tcPr>
                <w:tcW w:w="345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1. Bogotá Avanza en seguridad</w:t>
                </w:r>
              </w:p>
            </w:tc>
            <w:tc>
              <w:tcPr>
                <w:tcW w:w="543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4. Participación y construcción de tejido social para la seguridad</w:t>
                </w:r>
              </w:p>
            </w:tc>
          </w:tr>
          <w:tr w:rsidR="00D35DC7">
            <w:trPr>
              <w:trHeight w:val="485"/>
            </w:trPr>
            <w:tc>
              <w:tcPr>
                <w:tcW w:w="345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1. Bogotá Avanza en seguridad</w:t>
                </w:r>
              </w:p>
            </w:tc>
            <w:tc>
              <w:tcPr>
                <w:tcW w:w="543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5. Protección a la vida y seguridad para las mujeres</w:t>
                </w:r>
              </w:p>
            </w:tc>
          </w:tr>
          <w:tr w:rsidR="00D35DC7">
            <w:trPr>
              <w:trHeight w:val="485"/>
            </w:trPr>
            <w:tc>
              <w:tcPr>
                <w:tcW w:w="345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1. Bogotá Avanza en seguridad</w:t>
                </w:r>
              </w:p>
            </w:tc>
            <w:tc>
              <w:tcPr>
                <w:tcW w:w="543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6. Infraestructura para la movilidad</w:t>
                </w:r>
              </w:p>
            </w:tc>
          </w:tr>
          <w:tr w:rsidR="00D35DC7">
            <w:trPr>
              <w:trHeight w:val="485"/>
            </w:trPr>
            <w:tc>
              <w:tcPr>
                <w:tcW w:w="345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1. Bogotá Avanza en seguridad</w:t>
                </w:r>
              </w:p>
            </w:tc>
            <w:tc>
              <w:tcPr>
                <w:tcW w:w="543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7. Un cambio en la manera de movernos</w:t>
                </w:r>
              </w:p>
            </w:tc>
          </w:tr>
          <w:tr w:rsidR="00D35DC7">
            <w:trPr>
              <w:trHeight w:val="485"/>
            </w:trPr>
            <w:tc>
              <w:tcPr>
                <w:tcW w:w="345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1. Bogotá Avanza en seguridad</w:t>
                </w:r>
              </w:p>
            </w:tc>
            <w:tc>
              <w:tcPr>
                <w:tcW w:w="543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8. Calidad del transporte público</w:t>
                </w:r>
              </w:p>
            </w:tc>
          </w:tr>
          <w:tr w:rsidR="00D35DC7">
            <w:trPr>
              <w:trHeight w:val="485"/>
            </w:trPr>
            <w:tc>
              <w:tcPr>
                <w:tcW w:w="345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2. Bogotá Confía en su Bien-Estar</w:t>
                </w:r>
              </w:p>
            </w:tc>
            <w:tc>
              <w:tcPr>
                <w:tcW w:w="543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1. Soñar, ser y crecer: Niñez y adolescencia en Bogotá</w:t>
                </w:r>
              </w:p>
            </w:tc>
          </w:tr>
          <w:tr w:rsidR="00D35DC7">
            <w:trPr>
              <w:trHeight w:val="485"/>
            </w:trPr>
            <w:tc>
              <w:tcPr>
                <w:tcW w:w="345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2. Bogotá Confía en su Bien-Estar</w:t>
                </w:r>
              </w:p>
            </w:tc>
            <w:tc>
              <w:tcPr>
                <w:tcW w:w="543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2. Bogotá es el centro de la juventud</w:t>
                </w:r>
              </w:p>
            </w:tc>
          </w:tr>
          <w:tr w:rsidR="00D35DC7">
            <w:trPr>
              <w:trHeight w:val="485"/>
            </w:trPr>
            <w:tc>
              <w:tcPr>
                <w:tcW w:w="345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2. Bogotá Confía en su Bien-Estar</w:t>
                </w:r>
              </w:p>
            </w:tc>
            <w:tc>
              <w:tcPr>
                <w:tcW w:w="543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3. Una ciudad que dignifica a las personas mayores</w:t>
                </w:r>
              </w:p>
            </w:tc>
          </w:tr>
          <w:tr w:rsidR="00D35DC7">
            <w:trPr>
              <w:trHeight w:val="485"/>
            </w:trPr>
            <w:tc>
              <w:tcPr>
                <w:tcW w:w="345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2. Bogotá Confía en su Bien-Estar</w:t>
                </w:r>
              </w:p>
            </w:tc>
            <w:tc>
              <w:tcPr>
                <w:tcW w:w="543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4. Una ciudad incluyente</w:t>
                </w:r>
              </w:p>
            </w:tc>
          </w:tr>
          <w:tr w:rsidR="00D35DC7">
            <w:trPr>
              <w:trHeight w:val="485"/>
            </w:trPr>
            <w:tc>
              <w:tcPr>
                <w:tcW w:w="345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2. Bogotá Confía en su Bien-Estar</w:t>
                </w:r>
              </w:p>
            </w:tc>
            <w:tc>
              <w:tcPr>
                <w:tcW w:w="543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5. Habitabilidad en calle</w:t>
                </w:r>
              </w:p>
            </w:tc>
          </w:tr>
          <w:tr w:rsidR="00D35DC7">
            <w:trPr>
              <w:trHeight w:val="485"/>
            </w:trPr>
            <w:tc>
              <w:tcPr>
                <w:tcW w:w="345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2. Bogotá Confía en su Bien-Estar</w:t>
                </w:r>
              </w:p>
            </w:tc>
            <w:tc>
              <w:tcPr>
                <w:tcW w:w="543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6. Una ciudad en donde podamos ser</w:t>
                </w:r>
              </w:p>
            </w:tc>
          </w:tr>
          <w:tr w:rsidR="00D35DC7">
            <w:trPr>
              <w:trHeight w:val="485"/>
            </w:trPr>
            <w:tc>
              <w:tcPr>
                <w:tcW w:w="345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2. Bogotá Confía en su Bien-Estar</w:t>
                </w:r>
              </w:p>
            </w:tc>
            <w:tc>
              <w:tcPr>
                <w:tcW w:w="543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7. Ruralidad y campesinado bogotano</w:t>
                </w:r>
              </w:p>
            </w:tc>
          </w:tr>
          <w:tr w:rsidR="00D35DC7">
            <w:trPr>
              <w:trHeight w:val="485"/>
            </w:trPr>
            <w:tc>
              <w:tcPr>
                <w:tcW w:w="345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2. Bogotá Confía en su Bien-Estar</w:t>
                </w:r>
              </w:p>
            </w:tc>
            <w:tc>
              <w:tcPr>
                <w:tcW w:w="543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8. Más diversa</w:t>
                </w:r>
              </w:p>
            </w:tc>
          </w:tr>
          <w:tr w:rsidR="00D35DC7">
            <w:trPr>
              <w:trHeight w:val="485"/>
            </w:trPr>
            <w:tc>
              <w:tcPr>
                <w:tcW w:w="345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2. Bogotá Confía en su Bien-Estar</w:t>
                </w:r>
              </w:p>
            </w:tc>
            <w:tc>
              <w:tcPr>
                <w:tcW w:w="543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9. Bogotá capital de la diversidad étnica y cultural</w:t>
                </w:r>
              </w:p>
            </w:tc>
          </w:tr>
          <w:tr w:rsidR="00D35DC7">
            <w:trPr>
              <w:trHeight w:val="485"/>
            </w:trPr>
            <w:tc>
              <w:tcPr>
                <w:tcW w:w="345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2. Bogotá Confía en su Bien-Estar</w:t>
                </w:r>
              </w:p>
            </w:tc>
            <w:tc>
              <w:tcPr>
                <w:tcW w:w="543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10. Víctimas, paz, memoria y reconciliación</w:t>
                </w:r>
              </w:p>
            </w:tc>
          </w:tr>
          <w:tr w:rsidR="00D35DC7">
            <w:trPr>
              <w:trHeight w:val="485"/>
            </w:trPr>
            <w:tc>
              <w:tcPr>
                <w:tcW w:w="345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2. Bogotá Confía en su Bien-Estar</w:t>
                </w:r>
              </w:p>
            </w:tc>
            <w:tc>
              <w:tcPr>
                <w:tcW w:w="543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11. Acceso al deporte con equidad</w:t>
                </w:r>
              </w:p>
            </w:tc>
          </w:tr>
          <w:tr w:rsidR="00D35DC7">
            <w:trPr>
              <w:trHeight w:val="485"/>
            </w:trPr>
            <w:tc>
              <w:tcPr>
                <w:tcW w:w="345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2. Bogotá Confía en su Bien-Estar</w:t>
                </w:r>
              </w:p>
            </w:tc>
            <w:tc>
              <w:tcPr>
                <w:tcW w:w="543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12. Espacios seguros para el deporte y la recreación</w:t>
                </w:r>
              </w:p>
            </w:tc>
          </w:tr>
          <w:tr w:rsidR="00D35DC7">
            <w:trPr>
              <w:trHeight w:val="485"/>
            </w:trPr>
            <w:tc>
              <w:tcPr>
                <w:tcW w:w="345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2. Bogotá Confía en su Bien-Estar</w:t>
                </w:r>
              </w:p>
            </w:tc>
            <w:tc>
              <w:tcPr>
                <w:tcW w:w="543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13. Cultura para la gente</w:t>
                </w:r>
              </w:p>
            </w:tc>
          </w:tr>
          <w:tr w:rsidR="00D35DC7">
            <w:trPr>
              <w:trHeight w:val="485"/>
            </w:trPr>
            <w:tc>
              <w:tcPr>
                <w:tcW w:w="345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2. Bogotá Confía en su Bien-Estar</w:t>
                </w:r>
              </w:p>
            </w:tc>
            <w:tc>
              <w:tcPr>
                <w:tcW w:w="543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14. Una ciudad sin pobreza y sin hambre</w:t>
                </w:r>
              </w:p>
            </w:tc>
          </w:tr>
          <w:tr w:rsidR="00D35DC7">
            <w:trPr>
              <w:trHeight w:val="485"/>
            </w:trPr>
            <w:tc>
              <w:tcPr>
                <w:tcW w:w="345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2. Bogotá Confía en su Bien-Estar</w:t>
                </w:r>
              </w:p>
            </w:tc>
            <w:tc>
              <w:tcPr>
                <w:tcW w:w="543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15. Atención primaria para el cierre de brechas y fortalecimiento de las capacidades en Salúd Pública</w:t>
                </w:r>
              </w:p>
            </w:tc>
          </w:tr>
          <w:tr w:rsidR="00D35DC7">
            <w:trPr>
              <w:trHeight w:val="485"/>
            </w:trPr>
            <w:tc>
              <w:tcPr>
                <w:tcW w:w="345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2. Bogotá Confía en su Bien-Estar</w:t>
                </w:r>
              </w:p>
            </w:tc>
            <w:tc>
              <w:tcPr>
                <w:tcW w:w="543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16. Bienestar animal</w:t>
                </w:r>
              </w:p>
            </w:tc>
          </w:tr>
          <w:tr w:rsidR="00D35DC7">
            <w:trPr>
              <w:trHeight w:val="485"/>
            </w:trPr>
            <w:tc>
              <w:tcPr>
                <w:tcW w:w="345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2. Bogotá Confía en su Bien-Estar</w:t>
                </w:r>
              </w:p>
            </w:tc>
            <w:tc>
              <w:tcPr>
                <w:tcW w:w="543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17. Inteligencia en salud pública y gestión del conocimiento para la toma de decisiones</w:t>
                </w:r>
              </w:p>
            </w:tc>
          </w:tr>
          <w:tr w:rsidR="00D35DC7">
            <w:trPr>
              <w:trHeight w:val="485"/>
            </w:trPr>
            <w:tc>
              <w:tcPr>
                <w:tcW w:w="345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2. Bogotá Confía en su Bien-Estar</w:t>
                </w:r>
              </w:p>
            </w:tc>
            <w:tc>
              <w:tcPr>
                <w:tcW w:w="543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18. Fortalecimiento de la red pública de prestación de servicios en salud</w:t>
                </w:r>
              </w:p>
            </w:tc>
          </w:tr>
          <w:tr w:rsidR="00D35DC7">
            <w:trPr>
              <w:trHeight w:val="485"/>
            </w:trPr>
            <w:tc>
              <w:tcPr>
                <w:tcW w:w="345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2. Bogotá Confía en su Bien-Estar</w:t>
                </w:r>
              </w:p>
            </w:tc>
            <w:tc>
              <w:tcPr>
                <w:tcW w:w="543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19. Salud digital: Bogotá modelo nacional de salud digital</w:t>
                </w:r>
              </w:p>
            </w:tc>
          </w:tr>
          <w:tr w:rsidR="00D35DC7">
            <w:trPr>
              <w:trHeight w:val="485"/>
            </w:trPr>
            <w:tc>
              <w:tcPr>
                <w:tcW w:w="345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2. Bogotá Confía en su Bien-Estar</w:t>
                </w:r>
              </w:p>
            </w:tc>
            <w:tc>
              <w:tcPr>
                <w:tcW w:w="543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20. Salud mental integrada a los servicios de salud</w:t>
                </w:r>
              </w:p>
            </w:tc>
          </w:tr>
          <w:tr w:rsidR="00D35DC7">
            <w:trPr>
              <w:trHeight w:val="485"/>
            </w:trPr>
            <w:tc>
              <w:tcPr>
                <w:tcW w:w="345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2. Bogotá Confía en su Bien-Estar</w:t>
                </w:r>
              </w:p>
            </w:tc>
            <w:tc>
              <w:tcPr>
                <w:tcW w:w="543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21. Seguridad sanitaria</w:t>
                </w:r>
              </w:p>
            </w:tc>
          </w:tr>
          <w:tr w:rsidR="00D35DC7">
            <w:trPr>
              <w:trHeight w:val="485"/>
            </w:trPr>
            <w:tc>
              <w:tcPr>
                <w:tcW w:w="345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2. Bogotá Confía en su Bien-Estar</w:t>
                </w:r>
              </w:p>
            </w:tc>
            <w:tc>
              <w:tcPr>
                <w:tcW w:w="543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22. Talento humano y desarrollo tecnológico en salud</w:t>
                </w:r>
              </w:p>
            </w:tc>
          </w:tr>
          <w:tr w:rsidR="00D35DC7">
            <w:trPr>
              <w:trHeight w:val="485"/>
            </w:trPr>
            <w:tc>
              <w:tcPr>
                <w:tcW w:w="345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2. Bogotá Confía en su Bien-Estar</w:t>
                </w:r>
              </w:p>
            </w:tc>
            <w:tc>
              <w:tcPr>
                <w:tcW w:w="543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23. Salud para la mujer</w:t>
                </w:r>
              </w:p>
            </w:tc>
          </w:tr>
          <w:tr w:rsidR="00D35DC7">
            <w:trPr>
              <w:trHeight w:val="485"/>
            </w:trPr>
            <w:tc>
              <w:tcPr>
                <w:tcW w:w="345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2. Bogotá Confía en su Bien-Estar</w:t>
                </w:r>
              </w:p>
            </w:tc>
            <w:tc>
              <w:tcPr>
                <w:tcW w:w="543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24. La primera infancia, la nutrición y la seguridad alimentaria; bases para el futuro</w:t>
                </w:r>
              </w:p>
            </w:tc>
          </w:tr>
          <w:tr w:rsidR="00D35DC7">
            <w:trPr>
              <w:trHeight w:val="485"/>
            </w:trPr>
            <w:tc>
              <w:tcPr>
                <w:tcW w:w="345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3. Bogotá Confía en su Potencial</w:t>
                </w:r>
              </w:p>
            </w:tc>
            <w:tc>
              <w:tcPr>
                <w:tcW w:w="543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1. Impulso a la productividad</w:t>
                </w:r>
              </w:p>
            </w:tc>
          </w:tr>
          <w:tr w:rsidR="00D35DC7">
            <w:trPr>
              <w:trHeight w:val="485"/>
            </w:trPr>
            <w:tc>
              <w:tcPr>
                <w:tcW w:w="345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3. Bogotá Confía en su Potencial</w:t>
                </w:r>
              </w:p>
            </w:tc>
            <w:tc>
              <w:tcPr>
                <w:tcW w:w="543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2. Aprender a emprender</w:t>
                </w:r>
              </w:p>
            </w:tc>
          </w:tr>
          <w:tr w:rsidR="00D35DC7">
            <w:trPr>
              <w:trHeight w:val="485"/>
            </w:trPr>
            <w:tc>
              <w:tcPr>
                <w:tcW w:w="345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3. Bogotá Confía en su Potencial</w:t>
                </w:r>
              </w:p>
            </w:tc>
            <w:tc>
              <w:tcPr>
                <w:tcW w:w="543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3. Bogotá paga por resultados</w:t>
                </w:r>
              </w:p>
            </w:tc>
          </w:tr>
          <w:tr w:rsidR="00D35DC7">
            <w:trPr>
              <w:trHeight w:val="485"/>
            </w:trPr>
            <w:tc>
              <w:tcPr>
                <w:tcW w:w="345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3. Bogotá Confía en su Potencial</w:t>
                </w:r>
              </w:p>
            </w:tc>
            <w:tc>
              <w:tcPr>
                <w:tcW w:w="543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4. La transformación digital como motor de desarrollo económico y social de Bogotá</w:t>
                </w:r>
              </w:p>
            </w:tc>
          </w:tr>
          <w:tr w:rsidR="00D35DC7">
            <w:trPr>
              <w:trHeight w:val="485"/>
            </w:trPr>
            <w:tc>
              <w:tcPr>
                <w:tcW w:w="345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3. Bogotá Confía en su Potencial</w:t>
                </w:r>
              </w:p>
            </w:tc>
            <w:tc>
              <w:tcPr>
                <w:tcW w:w="543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5. Ciencia, tecnología e innovación para desarrollar nuestro potencial</w:t>
                </w:r>
              </w:p>
            </w:tc>
          </w:tr>
          <w:tr w:rsidR="00D35DC7">
            <w:trPr>
              <w:trHeight w:val="485"/>
            </w:trPr>
            <w:tc>
              <w:tcPr>
                <w:tcW w:w="345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3. Bogotá Confía en su Potencial</w:t>
                </w:r>
              </w:p>
            </w:tc>
            <w:tc>
              <w:tcPr>
                <w:tcW w:w="543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6. Educación con calidad para el cierre de brechas</w:t>
                </w:r>
              </w:p>
            </w:tc>
          </w:tr>
          <w:tr w:rsidR="00D35DC7">
            <w:trPr>
              <w:trHeight w:val="485"/>
            </w:trPr>
            <w:tc>
              <w:tcPr>
                <w:tcW w:w="345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3. Bogotá Confía en su Potencial</w:t>
                </w:r>
              </w:p>
            </w:tc>
            <w:tc>
              <w:tcPr>
                <w:tcW w:w="543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7. Colegios con garantía de derechos</w:t>
                </w:r>
              </w:p>
            </w:tc>
          </w:tr>
          <w:tr w:rsidR="00D35DC7">
            <w:trPr>
              <w:trHeight w:val="485"/>
            </w:trPr>
            <w:tc>
              <w:tcPr>
                <w:tcW w:w="345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3. Bogotá Confía en su Potencial</w:t>
                </w:r>
              </w:p>
            </w:tc>
            <w:tc>
              <w:tcPr>
                <w:tcW w:w="543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8. Trayectoria educativa completa para la equidad</w:t>
                </w:r>
              </w:p>
            </w:tc>
          </w:tr>
          <w:tr w:rsidR="00D35DC7">
            <w:trPr>
              <w:trHeight w:val="740"/>
            </w:trPr>
            <w:tc>
              <w:tcPr>
                <w:tcW w:w="345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4. Bogotá Ordena su Territorio y Avanza en su Acción Climática</w:t>
                </w:r>
              </w:p>
            </w:tc>
            <w:tc>
              <w:tcPr>
                <w:tcW w:w="543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1. Proyectaremos a Bogotá a mayor escala</w:t>
                </w:r>
              </w:p>
            </w:tc>
          </w:tr>
          <w:tr w:rsidR="00D35DC7">
            <w:trPr>
              <w:trHeight w:val="740"/>
            </w:trPr>
            <w:tc>
              <w:tcPr>
                <w:tcW w:w="345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4. Bogotá Ordena su Territorio y Avanza en su Acción Climática</w:t>
                </w:r>
              </w:p>
            </w:tc>
            <w:tc>
              <w:tcPr>
                <w:tcW w:w="543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2. Gestionaremos una ciudad digna y justa</w:t>
                </w:r>
              </w:p>
            </w:tc>
          </w:tr>
          <w:tr w:rsidR="00D35DC7">
            <w:trPr>
              <w:trHeight w:val="740"/>
            </w:trPr>
            <w:tc>
              <w:tcPr>
                <w:tcW w:w="345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4. Bogotá Ordena su Territorio y Avanza en su Acción Climática</w:t>
                </w:r>
              </w:p>
            </w:tc>
            <w:tc>
              <w:tcPr>
                <w:tcW w:w="543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3. Revitalización y protección a moradores</w:t>
                </w:r>
              </w:p>
            </w:tc>
          </w:tr>
          <w:tr w:rsidR="00D35DC7">
            <w:trPr>
              <w:trHeight w:val="740"/>
            </w:trPr>
            <w:tc>
              <w:tcPr>
                <w:tcW w:w="345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4. Bogotá Ordena su Territorio y Avanza en su Acción Climática</w:t>
                </w:r>
              </w:p>
            </w:tc>
            <w:tc>
              <w:tcPr>
                <w:tcW w:w="543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4. Compromiso con el Plan de Acción Climática (PAC)</w:t>
                </w:r>
              </w:p>
            </w:tc>
          </w:tr>
          <w:tr w:rsidR="00D35DC7">
            <w:trPr>
              <w:trHeight w:val="740"/>
            </w:trPr>
            <w:tc>
              <w:tcPr>
                <w:tcW w:w="345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4. Bogotá Ordena su Territorio y Avanza en su Acción Climática</w:t>
                </w:r>
              </w:p>
            </w:tc>
            <w:tc>
              <w:tcPr>
                <w:tcW w:w="543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5. Nueva confianza ambiental y climática</w:t>
                </w:r>
              </w:p>
            </w:tc>
          </w:tr>
          <w:tr w:rsidR="00D35DC7">
            <w:trPr>
              <w:trHeight w:val="740"/>
            </w:trPr>
            <w:tc>
              <w:tcPr>
                <w:tcW w:w="345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4. Bogotá Ordena su Territorio y Avanza en su Acción Climática</w:t>
                </w:r>
              </w:p>
            </w:tc>
            <w:tc>
              <w:tcPr>
                <w:tcW w:w="543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6. Movilidad sostenible</w:t>
                </w:r>
              </w:p>
            </w:tc>
          </w:tr>
          <w:tr w:rsidR="00D35DC7">
            <w:trPr>
              <w:trHeight w:val="740"/>
            </w:trPr>
            <w:tc>
              <w:tcPr>
                <w:tcW w:w="345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4. Bogotá Ordena su Territorio y Avanza en su Acción Climática</w:t>
                </w:r>
              </w:p>
            </w:tc>
            <w:tc>
              <w:tcPr>
                <w:tcW w:w="543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7. Urbanismo regenerativo</w:t>
                </w:r>
              </w:p>
            </w:tc>
          </w:tr>
          <w:tr w:rsidR="00D35DC7">
            <w:trPr>
              <w:trHeight w:val="740"/>
            </w:trPr>
            <w:tc>
              <w:tcPr>
                <w:tcW w:w="345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4. Bogotá Ordena su Territorio y Avanza en su Acción Climática</w:t>
                </w:r>
              </w:p>
            </w:tc>
            <w:tc>
              <w:tcPr>
                <w:tcW w:w="543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8. Economía circular para la reducción de contaminantes</w:t>
                </w:r>
              </w:p>
            </w:tc>
          </w:tr>
          <w:tr w:rsidR="00D35DC7">
            <w:trPr>
              <w:trHeight w:val="740"/>
            </w:trPr>
            <w:tc>
              <w:tcPr>
                <w:tcW w:w="345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4. Bogotá Ordena su Territorio y Avanza en su Acción Climática</w:t>
                </w:r>
              </w:p>
            </w:tc>
            <w:tc>
              <w:tcPr>
                <w:tcW w:w="543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9. Justicia ambiental para la acción climática</w:t>
                </w:r>
              </w:p>
            </w:tc>
          </w:tr>
          <w:tr w:rsidR="00D35DC7">
            <w:trPr>
              <w:trHeight w:val="740"/>
            </w:trPr>
            <w:tc>
              <w:tcPr>
                <w:tcW w:w="345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4. Bogotá Ordena su Territorio y Avanza en su Acción Climática</w:t>
                </w:r>
              </w:p>
            </w:tc>
            <w:tc>
              <w:tcPr>
                <w:tcW w:w="543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10. Financiamiento para la confianza ambiental y climática</w:t>
                </w:r>
              </w:p>
            </w:tc>
          </w:tr>
          <w:tr w:rsidR="00D35DC7">
            <w:trPr>
              <w:trHeight w:val="740"/>
            </w:trPr>
            <w:tc>
              <w:tcPr>
                <w:tcW w:w="345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4. Bogotá Ordena su Territorio y Avanza en su Acción Climática</w:t>
                </w:r>
              </w:p>
            </w:tc>
            <w:tc>
              <w:tcPr>
                <w:tcW w:w="543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11. Una nueva etapa del cuidado</w:t>
                </w:r>
              </w:p>
            </w:tc>
          </w:tr>
          <w:tr w:rsidR="00D35DC7">
            <w:trPr>
              <w:trHeight w:val="740"/>
            </w:trPr>
            <w:tc>
              <w:tcPr>
                <w:tcW w:w="345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4. Bogotá Ordena su Territorio y Avanza en su Acción Climática</w:t>
                </w:r>
              </w:p>
            </w:tc>
            <w:tc>
              <w:tcPr>
                <w:tcW w:w="543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12. Hábitat incluyente</w:t>
                </w:r>
              </w:p>
            </w:tc>
          </w:tr>
          <w:tr w:rsidR="00D35DC7">
            <w:trPr>
              <w:trHeight w:val="740"/>
            </w:trPr>
            <w:tc>
              <w:tcPr>
                <w:tcW w:w="345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4. Bogotá Ordena su Territorio y Avanza en su Acción Climática</w:t>
                </w:r>
              </w:p>
            </w:tc>
            <w:tc>
              <w:tcPr>
                <w:tcW w:w="543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13. Servicios públicos de calidad</w:t>
                </w:r>
              </w:p>
            </w:tc>
          </w:tr>
          <w:tr w:rsidR="00D35DC7">
            <w:trPr>
              <w:trHeight w:val="740"/>
            </w:trPr>
            <w:tc>
              <w:tcPr>
                <w:tcW w:w="345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4. Bogotá Ordena su Territorio y Avanza en su Acción Climática</w:t>
                </w:r>
              </w:p>
            </w:tc>
            <w:tc>
              <w:tcPr>
                <w:tcW w:w="543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14. Flujos de energía e información</w:t>
                </w:r>
              </w:p>
            </w:tc>
          </w:tr>
          <w:tr w:rsidR="00D35DC7">
            <w:trPr>
              <w:trHeight w:val="485"/>
            </w:trPr>
            <w:tc>
              <w:tcPr>
                <w:tcW w:w="345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5. Bogotá Confía en su Gobierno</w:t>
                </w:r>
              </w:p>
            </w:tc>
            <w:tc>
              <w:tcPr>
                <w:tcW w:w="543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1. Confianza y gasto público</w:t>
                </w:r>
              </w:p>
            </w:tc>
          </w:tr>
          <w:tr w:rsidR="00D35DC7">
            <w:trPr>
              <w:trHeight w:val="485"/>
            </w:trPr>
            <w:tc>
              <w:tcPr>
                <w:tcW w:w="345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5. Bogotá Confía en su Gobierno</w:t>
                </w:r>
              </w:p>
            </w:tc>
            <w:tc>
              <w:tcPr>
                <w:tcW w:w="543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2. Modernización de la administración y nueva relación con la ciudadanía</w:t>
                </w:r>
              </w:p>
            </w:tc>
          </w:tr>
          <w:tr w:rsidR="00D35DC7">
            <w:trPr>
              <w:trHeight w:val="485"/>
            </w:trPr>
            <w:tc>
              <w:tcPr>
                <w:tcW w:w="345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5. Bogotá Confía en su Gobierno</w:t>
                </w:r>
              </w:p>
            </w:tc>
            <w:tc>
              <w:tcPr>
                <w:tcW w:w="543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3. Una ciudadanía que participa, incide y transforma</w:t>
                </w:r>
              </w:p>
            </w:tc>
          </w:tr>
          <w:tr w:rsidR="00D35DC7">
            <w:trPr>
              <w:trHeight w:val="485"/>
            </w:trPr>
            <w:tc>
              <w:tcPr>
                <w:tcW w:w="345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5. Bogotá Confía en su Gobierno</w:t>
                </w:r>
              </w:p>
            </w:tc>
            <w:tc>
              <w:tcPr>
                <w:tcW w:w="5430" w:type="dxa"/>
              </w:tcPr>
              <w:p w:rsidR="00D35DC7" w:rsidRDefault="00982954">
                <w:pPr>
                  <w:shd w:val="clear" w:color="auto" w:fill="FFFFFF"/>
                  <w:spacing w:before="150"/>
                  <w:jc w:val="both"/>
                  <w:rPr>
                    <w:rFonts w:ascii="Arial" w:eastAsia="Arial" w:hAnsi="Arial" w:cs="Arial"/>
                    <w:sz w:val="20"/>
                    <w:szCs w:val="20"/>
                  </w:rPr>
                </w:pPr>
                <w:r>
                  <w:rPr>
                    <w:rFonts w:ascii="Arial" w:eastAsia="Arial" w:hAnsi="Arial" w:cs="Arial"/>
                    <w:sz w:val="20"/>
                    <w:szCs w:val="20"/>
                  </w:rPr>
                  <w:t>4. Ciudad inteligente y acceso a información</w:t>
                </w:r>
              </w:p>
            </w:tc>
          </w:tr>
        </w:tbl>
      </w:sdtContent>
    </w:sdt>
    <w:p w:rsidR="00D35DC7" w:rsidRDefault="00D35DC7">
      <w:pPr>
        <w:shd w:val="clear" w:color="auto" w:fill="FFFFFF"/>
        <w:spacing w:before="150"/>
        <w:jc w:val="both"/>
        <w:rPr>
          <w:rFonts w:ascii="Arial" w:eastAsia="Arial" w:hAnsi="Arial" w:cs="Arial"/>
          <w:b/>
        </w:rPr>
      </w:pPr>
    </w:p>
    <w:p w:rsidR="00D35DC7" w:rsidRDefault="00D35DC7">
      <w:pPr>
        <w:shd w:val="clear" w:color="auto" w:fill="FFFFFF"/>
        <w:spacing w:before="150"/>
        <w:jc w:val="center"/>
        <w:rPr>
          <w:rFonts w:ascii="Arial" w:eastAsia="Arial" w:hAnsi="Arial" w:cs="Arial"/>
          <w:b/>
        </w:rPr>
      </w:pPr>
    </w:p>
    <w:p w:rsidR="00D35DC7" w:rsidRDefault="00D35DC7">
      <w:pPr>
        <w:shd w:val="clear" w:color="auto" w:fill="FFFFFF"/>
        <w:spacing w:before="150"/>
        <w:jc w:val="center"/>
        <w:rPr>
          <w:rFonts w:ascii="Arial" w:eastAsia="Arial" w:hAnsi="Arial" w:cs="Arial"/>
          <w:b/>
        </w:rPr>
      </w:pPr>
    </w:p>
    <w:p w:rsidR="00D35DC7" w:rsidRDefault="00982954">
      <w:pPr>
        <w:shd w:val="clear" w:color="auto" w:fill="FFFFFF"/>
        <w:spacing w:before="150"/>
        <w:jc w:val="center"/>
        <w:rPr>
          <w:rFonts w:ascii="Arial" w:eastAsia="Arial" w:hAnsi="Arial" w:cs="Arial"/>
          <w:b/>
        </w:rPr>
      </w:pPr>
      <w:r>
        <w:rPr>
          <w:rFonts w:ascii="Arial" w:eastAsia="Arial" w:hAnsi="Arial" w:cs="Arial"/>
          <w:b/>
        </w:rPr>
        <w:t>5. PARTICIPACIÓN CIUDADANA</w:t>
      </w:r>
    </w:p>
    <w:p w:rsidR="00D35DC7" w:rsidRDefault="00D35DC7">
      <w:pPr>
        <w:shd w:val="clear" w:color="auto" w:fill="FFFFFF"/>
        <w:spacing w:before="150"/>
        <w:jc w:val="center"/>
        <w:rPr>
          <w:rFonts w:ascii="Arial" w:eastAsia="Arial" w:hAnsi="Arial" w:cs="Arial"/>
          <w:b/>
        </w:rPr>
      </w:pPr>
    </w:p>
    <w:p w:rsidR="00D35DC7" w:rsidRDefault="00982954">
      <w:pPr>
        <w:shd w:val="clear" w:color="auto" w:fill="FFFFFF"/>
        <w:spacing w:before="150"/>
        <w:jc w:val="both"/>
        <w:rPr>
          <w:rFonts w:ascii="Arial" w:eastAsia="Arial" w:hAnsi="Arial" w:cs="Arial"/>
          <w:b/>
        </w:rPr>
      </w:pPr>
      <w:r>
        <w:rPr>
          <w:rFonts w:ascii="Arial" w:eastAsia="Arial" w:hAnsi="Arial" w:cs="Arial"/>
          <w:b/>
        </w:rPr>
        <w:t>5.1 Reuniones realizadas por la ponente</w:t>
      </w:r>
    </w:p>
    <w:p w:rsidR="00D35DC7" w:rsidRDefault="00D35DC7">
      <w:pPr>
        <w:shd w:val="clear" w:color="auto" w:fill="FFFFFF"/>
        <w:spacing w:before="150"/>
        <w:jc w:val="both"/>
        <w:rPr>
          <w:rFonts w:ascii="Arial" w:eastAsia="Arial" w:hAnsi="Arial" w:cs="Arial"/>
          <w:b/>
        </w:rPr>
      </w:pPr>
    </w:p>
    <w:p w:rsidR="00D35DC7" w:rsidRDefault="00982954">
      <w:pPr>
        <w:pBdr>
          <w:top w:val="none" w:sz="0" w:space="0" w:color="E3E3E3"/>
          <w:left w:val="none" w:sz="0" w:space="0" w:color="E3E3E3"/>
          <w:bottom w:val="none" w:sz="0" w:space="0" w:color="E3E3E3"/>
          <w:right w:val="none" w:sz="0" w:space="0" w:color="E3E3E3"/>
          <w:between w:val="none" w:sz="0" w:space="0" w:color="E3E3E3"/>
        </w:pBdr>
        <w:shd w:val="clear" w:color="auto" w:fill="FFFFFF"/>
        <w:spacing w:after="300" w:line="360" w:lineRule="auto"/>
        <w:jc w:val="both"/>
        <w:rPr>
          <w:rFonts w:ascii="Arial" w:eastAsia="Arial" w:hAnsi="Arial" w:cs="Arial"/>
        </w:rPr>
      </w:pPr>
      <w:r>
        <w:rPr>
          <w:rFonts w:ascii="Arial" w:eastAsia="Arial" w:hAnsi="Arial" w:cs="Arial"/>
        </w:rPr>
        <w:t>Dentro del contexto del ejercicio de coordinación y ponencia del plan de desarrollo, se han promovido una serie de instancias destinadas a fomentar la participación ciudadana. Estas oportunidades se han concebido como canales abiertos para que aquellos individuos interesados en aportar sus perspectivas, propuestas e ideas para que contribuyan significativamente a la formulación de políticas públicas que aborden de manera efectiva las necesidades específicas de cada sector. La confluencia de estas iniciativas con el plan distrital de desarrollo busca garantizar un enfoque integral en el proceso de diseño y ejecución de políticas públicas.</w:t>
      </w:r>
    </w:p>
    <w:p w:rsidR="00D35DC7" w:rsidRDefault="00982954">
      <w:pPr>
        <w:pBdr>
          <w:top w:val="none" w:sz="0" w:space="0" w:color="E3E3E3"/>
          <w:left w:val="none" w:sz="0" w:space="0" w:color="E3E3E3"/>
          <w:bottom w:val="none" w:sz="0" w:space="0" w:color="E3E3E3"/>
          <w:right w:val="none" w:sz="0" w:space="0" w:color="E3E3E3"/>
          <w:between w:val="none" w:sz="0" w:space="0" w:color="E3E3E3"/>
        </w:pBdr>
        <w:shd w:val="clear" w:color="auto" w:fill="FFFFFF"/>
        <w:spacing w:before="300" w:after="300" w:line="360" w:lineRule="auto"/>
        <w:jc w:val="both"/>
        <w:rPr>
          <w:rFonts w:ascii="Arial" w:eastAsia="Arial" w:hAnsi="Arial" w:cs="Arial"/>
        </w:rPr>
      </w:pPr>
      <w:r>
        <w:rPr>
          <w:rFonts w:ascii="Arial" w:eastAsia="Arial" w:hAnsi="Arial" w:cs="Arial"/>
        </w:rPr>
        <w:t>Además, la ponente ha convocado a diversas audiencias, foros, comisiones y otras instancias de participación con el propósito fundamental de explorar una variedad de temas relevantes y escuchar de primera mano las opiniones, necesidades y, sobre todo, las posibles soluciones planteadas por los participantes.</w:t>
      </w:r>
    </w:p>
    <w:p w:rsidR="00D35DC7" w:rsidRDefault="00982954">
      <w:pPr>
        <w:pBdr>
          <w:top w:val="none" w:sz="0" w:space="0" w:color="E3E3E3"/>
          <w:left w:val="none" w:sz="0" w:space="0" w:color="E3E3E3"/>
          <w:bottom w:val="none" w:sz="0" w:space="0" w:color="E3E3E3"/>
          <w:right w:val="none" w:sz="0" w:space="0" w:color="E3E3E3"/>
          <w:between w:val="none" w:sz="0" w:space="0" w:color="E3E3E3"/>
        </w:pBdr>
        <w:shd w:val="clear" w:color="auto" w:fill="FFFFFF"/>
        <w:spacing w:before="300" w:line="360" w:lineRule="auto"/>
        <w:jc w:val="both"/>
        <w:rPr>
          <w:rFonts w:ascii="Arial" w:eastAsia="Arial" w:hAnsi="Arial" w:cs="Arial"/>
        </w:rPr>
      </w:pPr>
      <w:r>
        <w:rPr>
          <w:rFonts w:ascii="Arial" w:eastAsia="Arial" w:hAnsi="Arial" w:cs="Arial"/>
        </w:rPr>
        <w:t>El ejercicio conjunto llevado a cabo en cada una de estas instancias de participación ha proporcionado valiosos insumos para la formulación de la presente ponencia. A continuación, se detallarán los diferentes ejercicios, audiencias, reuniones y foros que han tenido lugar en este proceso.</w:t>
      </w:r>
    </w:p>
    <w:p w:rsidR="00D35DC7" w:rsidRDefault="00D35DC7">
      <w:pPr>
        <w:pBdr>
          <w:top w:val="none" w:sz="0" w:space="0" w:color="E3E3E3"/>
          <w:left w:val="none" w:sz="0" w:space="0" w:color="E3E3E3"/>
          <w:bottom w:val="none" w:sz="0" w:space="0" w:color="E3E3E3"/>
          <w:right w:val="none" w:sz="0" w:space="0" w:color="E3E3E3"/>
          <w:between w:val="none" w:sz="0" w:space="0" w:color="E3E3E3"/>
        </w:pBdr>
        <w:shd w:val="clear" w:color="auto" w:fill="FFFFFF"/>
        <w:spacing w:before="300" w:line="360" w:lineRule="auto"/>
        <w:jc w:val="center"/>
        <w:rPr>
          <w:rFonts w:ascii="Arial" w:eastAsia="Arial" w:hAnsi="Arial" w:cs="Arial"/>
        </w:rPr>
      </w:pPr>
    </w:p>
    <w:p w:rsidR="00D35DC7" w:rsidRDefault="00D35DC7">
      <w:pPr>
        <w:pBdr>
          <w:top w:val="none" w:sz="0" w:space="0" w:color="E3E3E3"/>
          <w:left w:val="none" w:sz="0" w:space="0" w:color="E3E3E3"/>
          <w:bottom w:val="none" w:sz="0" w:space="0" w:color="E3E3E3"/>
          <w:right w:val="none" w:sz="0" w:space="0" w:color="E3E3E3"/>
          <w:between w:val="none" w:sz="0" w:space="0" w:color="E3E3E3"/>
        </w:pBdr>
        <w:shd w:val="clear" w:color="auto" w:fill="FFFFFF"/>
        <w:spacing w:before="300" w:line="360" w:lineRule="auto"/>
        <w:jc w:val="center"/>
        <w:rPr>
          <w:rFonts w:ascii="Arial" w:eastAsia="Arial" w:hAnsi="Arial" w:cs="Arial"/>
        </w:rPr>
      </w:pPr>
    </w:p>
    <w:p w:rsidR="00D35DC7" w:rsidRDefault="00D35DC7">
      <w:pPr>
        <w:pBdr>
          <w:top w:val="none" w:sz="0" w:space="0" w:color="E3E3E3"/>
          <w:left w:val="none" w:sz="0" w:space="0" w:color="E3E3E3"/>
          <w:bottom w:val="none" w:sz="0" w:space="0" w:color="E3E3E3"/>
          <w:right w:val="none" w:sz="0" w:space="0" w:color="E3E3E3"/>
          <w:between w:val="none" w:sz="0" w:space="0" w:color="E3E3E3"/>
        </w:pBdr>
        <w:shd w:val="clear" w:color="auto" w:fill="FFFFFF"/>
        <w:spacing w:before="300" w:line="360" w:lineRule="auto"/>
        <w:jc w:val="center"/>
        <w:rPr>
          <w:rFonts w:ascii="Arial" w:eastAsia="Arial" w:hAnsi="Arial" w:cs="Arial"/>
        </w:rPr>
      </w:pPr>
    </w:p>
    <w:p w:rsidR="00D35DC7" w:rsidRDefault="00D35DC7">
      <w:pPr>
        <w:pBdr>
          <w:top w:val="none" w:sz="0" w:space="0" w:color="E3E3E3"/>
          <w:left w:val="none" w:sz="0" w:space="0" w:color="E3E3E3"/>
          <w:bottom w:val="none" w:sz="0" w:space="0" w:color="E3E3E3"/>
          <w:right w:val="none" w:sz="0" w:space="0" w:color="E3E3E3"/>
          <w:between w:val="none" w:sz="0" w:space="0" w:color="E3E3E3"/>
        </w:pBdr>
        <w:shd w:val="clear" w:color="auto" w:fill="FFFFFF"/>
        <w:spacing w:before="300" w:line="360" w:lineRule="auto"/>
        <w:jc w:val="center"/>
        <w:rPr>
          <w:rFonts w:ascii="Arial" w:eastAsia="Arial" w:hAnsi="Arial" w:cs="Arial"/>
        </w:rPr>
      </w:pPr>
    </w:p>
    <w:tbl>
      <w:tblPr>
        <w:tblStyle w:val="a0"/>
        <w:tblpPr w:leftFromText="180" w:rightFromText="180" w:topFromText="180" w:bottomFromText="180" w:vertAnchor="text" w:tblpX="1539"/>
        <w:tblW w:w="586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3465"/>
        <w:gridCol w:w="2400"/>
      </w:tblGrid>
      <w:tr w:rsidR="00D35DC7">
        <w:trPr>
          <w:trHeight w:val="330"/>
        </w:trPr>
        <w:tc>
          <w:tcPr>
            <w:tcW w:w="3465" w:type="dxa"/>
            <w:tcBorders>
              <w:top w:val="single" w:sz="5" w:space="0" w:color="CCCCCC"/>
              <w:left w:val="single" w:sz="5" w:space="0" w:color="CCCCCC"/>
              <w:bottom w:val="single" w:sz="5" w:space="0" w:color="8EA9DB"/>
              <w:right w:val="single" w:sz="5" w:space="0" w:color="CCCCCC"/>
            </w:tcBorders>
            <w:shd w:val="clear" w:color="auto" w:fill="D9E1F2"/>
            <w:tcMar>
              <w:top w:w="40" w:type="dxa"/>
              <w:left w:w="40" w:type="dxa"/>
              <w:bottom w:w="40" w:type="dxa"/>
              <w:right w:w="40" w:type="dxa"/>
            </w:tcMar>
            <w:vAlign w:val="bottom"/>
          </w:tcPr>
          <w:p w:rsidR="00D35DC7" w:rsidRDefault="00982954">
            <w:pPr>
              <w:widowControl w:val="0"/>
              <w:spacing w:line="276" w:lineRule="auto"/>
              <w:jc w:val="center"/>
              <w:rPr>
                <w:rFonts w:ascii="Arial" w:eastAsia="Arial" w:hAnsi="Arial" w:cs="Arial"/>
                <w:sz w:val="20"/>
                <w:szCs w:val="20"/>
              </w:rPr>
            </w:pPr>
            <w:r>
              <w:rPr>
                <w:rFonts w:ascii="Calibri" w:eastAsia="Calibri" w:hAnsi="Calibri" w:cs="Calibri"/>
                <w:b/>
                <w:sz w:val="22"/>
                <w:szCs w:val="22"/>
              </w:rPr>
              <w:t>Espacio de participación</w:t>
            </w:r>
          </w:p>
        </w:tc>
        <w:tc>
          <w:tcPr>
            <w:tcW w:w="2400" w:type="dxa"/>
            <w:tcBorders>
              <w:top w:val="single" w:sz="5" w:space="0" w:color="CCCCCC"/>
              <w:left w:val="single" w:sz="5" w:space="0" w:color="CCCCCC"/>
              <w:bottom w:val="single" w:sz="5" w:space="0" w:color="8EA9DB"/>
              <w:right w:val="single" w:sz="5" w:space="0" w:color="CCCCCC"/>
            </w:tcBorders>
            <w:shd w:val="clear" w:color="auto" w:fill="D9E1F2"/>
            <w:tcMar>
              <w:top w:w="40" w:type="dxa"/>
              <w:left w:w="40" w:type="dxa"/>
              <w:bottom w:w="40" w:type="dxa"/>
              <w:right w:w="40" w:type="dxa"/>
            </w:tcMar>
            <w:vAlign w:val="bottom"/>
          </w:tcPr>
          <w:p w:rsidR="00D35DC7" w:rsidRDefault="00982954">
            <w:pPr>
              <w:widowControl w:val="0"/>
              <w:spacing w:line="276" w:lineRule="auto"/>
              <w:jc w:val="center"/>
              <w:rPr>
                <w:rFonts w:ascii="Arial" w:eastAsia="Arial" w:hAnsi="Arial" w:cs="Arial"/>
                <w:sz w:val="20"/>
                <w:szCs w:val="20"/>
              </w:rPr>
            </w:pPr>
            <w:r>
              <w:rPr>
                <w:rFonts w:ascii="Calibri" w:eastAsia="Calibri" w:hAnsi="Calibri" w:cs="Calibri"/>
                <w:b/>
                <w:sz w:val="22"/>
                <w:szCs w:val="22"/>
              </w:rPr>
              <w:t>Actividades</w:t>
            </w:r>
          </w:p>
        </w:tc>
      </w:tr>
      <w:tr w:rsidR="00D35DC7">
        <w:trPr>
          <w:trHeight w:val="330"/>
        </w:trPr>
        <w:tc>
          <w:tcPr>
            <w:tcW w:w="3465" w:type="dxa"/>
            <w:tcBorders>
              <w:top w:val="single" w:sz="5" w:space="0" w:color="8EA9DB"/>
              <w:left w:val="single" w:sz="5" w:space="0" w:color="CCCCCC"/>
              <w:bottom w:val="single" w:sz="5" w:space="0" w:color="CCCCCC"/>
              <w:right w:val="single" w:sz="5" w:space="0" w:color="CCCCCC"/>
            </w:tcBorders>
            <w:tcMar>
              <w:top w:w="40" w:type="dxa"/>
              <w:left w:w="40" w:type="dxa"/>
              <w:bottom w:w="40" w:type="dxa"/>
              <w:right w:w="40" w:type="dxa"/>
            </w:tcMar>
            <w:vAlign w:val="bottom"/>
          </w:tcPr>
          <w:p w:rsidR="00D35DC7" w:rsidRDefault="00982954">
            <w:pPr>
              <w:widowControl w:val="0"/>
              <w:spacing w:line="276" w:lineRule="auto"/>
              <w:rPr>
                <w:rFonts w:ascii="Arial" w:eastAsia="Arial" w:hAnsi="Arial" w:cs="Arial"/>
                <w:sz w:val="20"/>
                <w:szCs w:val="20"/>
              </w:rPr>
            </w:pPr>
            <w:r>
              <w:rPr>
                <w:rFonts w:ascii="Calibri" w:eastAsia="Calibri" w:hAnsi="Calibri" w:cs="Calibri"/>
                <w:sz w:val="22"/>
                <w:szCs w:val="22"/>
              </w:rPr>
              <w:t>Asociaciones y Federaciones</w:t>
            </w:r>
          </w:p>
        </w:tc>
        <w:tc>
          <w:tcPr>
            <w:tcW w:w="2400" w:type="dxa"/>
            <w:tcBorders>
              <w:top w:val="single" w:sz="5" w:space="0" w:color="8EA9DB"/>
              <w:left w:val="single" w:sz="5" w:space="0" w:color="CCCCCC"/>
              <w:bottom w:val="single" w:sz="5" w:space="0" w:color="CCCCCC"/>
              <w:right w:val="single" w:sz="5" w:space="0" w:color="CCCCCC"/>
            </w:tcBorders>
            <w:tcMar>
              <w:top w:w="40" w:type="dxa"/>
              <w:left w:w="40" w:type="dxa"/>
              <w:bottom w:w="40" w:type="dxa"/>
              <w:right w:w="40" w:type="dxa"/>
            </w:tcMar>
            <w:vAlign w:val="bottom"/>
          </w:tcPr>
          <w:p w:rsidR="00D35DC7" w:rsidRDefault="00982954">
            <w:pPr>
              <w:widowControl w:val="0"/>
              <w:spacing w:line="276" w:lineRule="auto"/>
              <w:jc w:val="right"/>
              <w:rPr>
                <w:rFonts w:ascii="Arial" w:eastAsia="Arial" w:hAnsi="Arial" w:cs="Arial"/>
                <w:sz w:val="20"/>
                <w:szCs w:val="20"/>
              </w:rPr>
            </w:pPr>
            <w:r>
              <w:rPr>
                <w:rFonts w:ascii="Calibri" w:eastAsia="Calibri" w:hAnsi="Calibri" w:cs="Calibri"/>
                <w:sz w:val="22"/>
                <w:szCs w:val="22"/>
              </w:rPr>
              <w:t>13%</w:t>
            </w:r>
          </w:p>
        </w:tc>
      </w:tr>
      <w:tr w:rsidR="00D35DC7">
        <w:trPr>
          <w:trHeight w:val="330"/>
        </w:trPr>
        <w:tc>
          <w:tcPr>
            <w:tcW w:w="3465" w:type="dxa"/>
            <w:tcBorders>
              <w:top w:val="single" w:sz="5" w:space="0" w:color="CCCCCC"/>
              <w:left w:val="single" w:sz="5" w:space="0" w:color="CCCCCC"/>
              <w:bottom w:val="single" w:sz="5" w:space="0" w:color="CCCCCC"/>
              <w:right w:val="single" w:sz="5" w:space="0" w:color="CCCCCC"/>
            </w:tcBorders>
            <w:tcMar>
              <w:top w:w="40" w:type="dxa"/>
              <w:left w:w="40" w:type="dxa"/>
              <w:bottom w:w="40" w:type="dxa"/>
              <w:right w:w="40" w:type="dxa"/>
            </w:tcMar>
            <w:vAlign w:val="bottom"/>
          </w:tcPr>
          <w:p w:rsidR="00D35DC7" w:rsidRDefault="00982954">
            <w:pPr>
              <w:widowControl w:val="0"/>
              <w:spacing w:line="276" w:lineRule="auto"/>
              <w:rPr>
                <w:rFonts w:ascii="Arial" w:eastAsia="Arial" w:hAnsi="Arial" w:cs="Arial"/>
                <w:sz w:val="20"/>
                <w:szCs w:val="20"/>
              </w:rPr>
            </w:pPr>
            <w:r>
              <w:rPr>
                <w:rFonts w:ascii="Calibri" w:eastAsia="Calibri" w:hAnsi="Calibri" w:cs="Calibri"/>
                <w:sz w:val="22"/>
                <w:szCs w:val="22"/>
              </w:rPr>
              <w:t>Audiencias públicas</w:t>
            </w:r>
          </w:p>
        </w:tc>
        <w:tc>
          <w:tcPr>
            <w:tcW w:w="2400" w:type="dxa"/>
            <w:tcBorders>
              <w:top w:val="single" w:sz="5" w:space="0" w:color="CCCCCC"/>
              <w:left w:val="single" w:sz="5" w:space="0" w:color="CCCCCC"/>
              <w:bottom w:val="single" w:sz="5" w:space="0" w:color="CCCCCC"/>
              <w:right w:val="single" w:sz="5" w:space="0" w:color="CCCCCC"/>
            </w:tcBorders>
            <w:tcMar>
              <w:top w:w="40" w:type="dxa"/>
              <w:left w:w="40" w:type="dxa"/>
              <w:bottom w:w="40" w:type="dxa"/>
              <w:right w:w="40" w:type="dxa"/>
            </w:tcMar>
            <w:vAlign w:val="bottom"/>
          </w:tcPr>
          <w:p w:rsidR="00D35DC7" w:rsidRDefault="00982954">
            <w:pPr>
              <w:widowControl w:val="0"/>
              <w:spacing w:line="276" w:lineRule="auto"/>
              <w:jc w:val="right"/>
              <w:rPr>
                <w:rFonts w:ascii="Arial" w:eastAsia="Arial" w:hAnsi="Arial" w:cs="Arial"/>
                <w:sz w:val="20"/>
                <w:szCs w:val="20"/>
              </w:rPr>
            </w:pPr>
            <w:r>
              <w:rPr>
                <w:rFonts w:ascii="Calibri" w:eastAsia="Calibri" w:hAnsi="Calibri" w:cs="Calibri"/>
                <w:sz w:val="22"/>
                <w:szCs w:val="22"/>
              </w:rPr>
              <w:t>20%</w:t>
            </w:r>
          </w:p>
        </w:tc>
      </w:tr>
      <w:tr w:rsidR="00D35DC7">
        <w:trPr>
          <w:trHeight w:val="330"/>
        </w:trPr>
        <w:tc>
          <w:tcPr>
            <w:tcW w:w="3465" w:type="dxa"/>
            <w:tcBorders>
              <w:top w:val="single" w:sz="5" w:space="0" w:color="CCCCCC"/>
              <w:left w:val="single" w:sz="5" w:space="0" w:color="CCCCCC"/>
              <w:bottom w:val="single" w:sz="5" w:space="0" w:color="CCCCCC"/>
              <w:right w:val="single" w:sz="5" w:space="0" w:color="CCCCCC"/>
            </w:tcBorders>
            <w:tcMar>
              <w:top w:w="40" w:type="dxa"/>
              <w:left w:w="40" w:type="dxa"/>
              <w:bottom w:w="40" w:type="dxa"/>
              <w:right w:w="40" w:type="dxa"/>
            </w:tcMar>
            <w:vAlign w:val="bottom"/>
          </w:tcPr>
          <w:p w:rsidR="00D35DC7" w:rsidRDefault="00982954">
            <w:pPr>
              <w:widowControl w:val="0"/>
              <w:spacing w:line="276" w:lineRule="auto"/>
              <w:rPr>
                <w:rFonts w:ascii="Arial" w:eastAsia="Arial" w:hAnsi="Arial" w:cs="Arial"/>
                <w:sz w:val="20"/>
                <w:szCs w:val="20"/>
              </w:rPr>
            </w:pPr>
            <w:r>
              <w:rPr>
                <w:rFonts w:ascii="Calibri" w:eastAsia="Calibri" w:hAnsi="Calibri" w:cs="Calibri"/>
                <w:sz w:val="22"/>
                <w:szCs w:val="22"/>
              </w:rPr>
              <w:t>Comisiones, Subcomisiones y Bancadas</w:t>
            </w:r>
          </w:p>
        </w:tc>
        <w:tc>
          <w:tcPr>
            <w:tcW w:w="2400" w:type="dxa"/>
            <w:tcBorders>
              <w:top w:val="single" w:sz="5" w:space="0" w:color="CCCCCC"/>
              <w:left w:val="single" w:sz="5" w:space="0" w:color="CCCCCC"/>
              <w:bottom w:val="single" w:sz="5" w:space="0" w:color="CCCCCC"/>
              <w:right w:val="single" w:sz="5" w:space="0" w:color="CCCCCC"/>
            </w:tcBorders>
            <w:tcMar>
              <w:top w:w="40" w:type="dxa"/>
              <w:left w:w="40" w:type="dxa"/>
              <w:bottom w:w="40" w:type="dxa"/>
              <w:right w:w="40" w:type="dxa"/>
            </w:tcMar>
            <w:vAlign w:val="bottom"/>
          </w:tcPr>
          <w:p w:rsidR="00D35DC7" w:rsidRDefault="00982954">
            <w:pPr>
              <w:widowControl w:val="0"/>
              <w:spacing w:line="276" w:lineRule="auto"/>
              <w:jc w:val="right"/>
              <w:rPr>
                <w:rFonts w:ascii="Arial" w:eastAsia="Arial" w:hAnsi="Arial" w:cs="Arial"/>
                <w:sz w:val="20"/>
                <w:szCs w:val="20"/>
              </w:rPr>
            </w:pPr>
            <w:r>
              <w:rPr>
                <w:rFonts w:ascii="Calibri" w:eastAsia="Calibri" w:hAnsi="Calibri" w:cs="Calibri"/>
                <w:sz w:val="22"/>
                <w:szCs w:val="22"/>
              </w:rPr>
              <w:t>20%</w:t>
            </w:r>
          </w:p>
        </w:tc>
      </w:tr>
      <w:tr w:rsidR="00D35DC7">
        <w:trPr>
          <w:trHeight w:val="330"/>
        </w:trPr>
        <w:tc>
          <w:tcPr>
            <w:tcW w:w="3465" w:type="dxa"/>
            <w:tcBorders>
              <w:top w:val="single" w:sz="5" w:space="0" w:color="CCCCCC"/>
              <w:left w:val="single" w:sz="5" w:space="0" w:color="CCCCCC"/>
              <w:bottom w:val="single" w:sz="5" w:space="0" w:color="CCCCCC"/>
              <w:right w:val="single" w:sz="5" w:space="0" w:color="CCCCCC"/>
            </w:tcBorders>
            <w:tcMar>
              <w:top w:w="40" w:type="dxa"/>
              <w:left w:w="40" w:type="dxa"/>
              <w:bottom w:w="40" w:type="dxa"/>
              <w:right w:w="40" w:type="dxa"/>
            </w:tcMar>
            <w:vAlign w:val="bottom"/>
          </w:tcPr>
          <w:p w:rsidR="00D35DC7" w:rsidRDefault="00982954">
            <w:pPr>
              <w:widowControl w:val="0"/>
              <w:spacing w:line="276" w:lineRule="auto"/>
              <w:rPr>
                <w:rFonts w:ascii="Arial" w:eastAsia="Arial" w:hAnsi="Arial" w:cs="Arial"/>
                <w:sz w:val="20"/>
                <w:szCs w:val="20"/>
              </w:rPr>
            </w:pPr>
            <w:r>
              <w:rPr>
                <w:rFonts w:ascii="Calibri" w:eastAsia="Calibri" w:hAnsi="Calibri" w:cs="Calibri"/>
                <w:sz w:val="22"/>
                <w:szCs w:val="22"/>
              </w:rPr>
              <w:t>Foros</w:t>
            </w:r>
          </w:p>
        </w:tc>
        <w:tc>
          <w:tcPr>
            <w:tcW w:w="2400" w:type="dxa"/>
            <w:tcBorders>
              <w:top w:val="single" w:sz="5" w:space="0" w:color="CCCCCC"/>
              <w:left w:val="single" w:sz="5" w:space="0" w:color="CCCCCC"/>
              <w:bottom w:val="single" w:sz="5" w:space="0" w:color="CCCCCC"/>
              <w:right w:val="single" w:sz="5" w:space="0" w:color="CCCCCC"/>
            </w:tcBorders>
            <w:tcMar>
              <w:top w:w="40" w:type="dxa"/>
              <w:left w:w="40" w:type="dxa"/>
              <w:bottom w:w="40" w:type="dxa"/>
              <w:right w:w="40" w:type="dxa"/>
            </w:tcMar>
            <w:vAlign w:val="bottom"/>
          </w:tcPr>
          <w:p w:rsidR="00D35DC7" w:rsidRDefault="00982954">
            <w:pPr>
              <w:widowControl w:val="0"/>
              <w:spacing w:line="276" w:lineRule="auto"/>
              <w:jc w:val="right"/>
              <w:rPr>
                <w:rFonts w:ascii="Arial" w:eastAsia="Arial" w:hAnsi="Arial" w:cs="Arial"/>
                <w:sz w:val="20"/>
                <w:szCs w:val="20"/>
              </w:rPr>
            </w:pPr>
            <w:r>
              <w:rPr>
                <w:rFonts w:ascii="Calibri" w:eastAsia="Calibri" w:hAnsi="Calibri" w:cs="Calibri"/>
                <w:sz w:val="22"/>
                <w:szCs w:val="22"/>
              </w:rPr>
              <w:t>7%</w:t>
            </w:r>
          </w:p>
        </w:tc>
      </w:tr>
      <w:tr w:rsidR="00D35DC7">
        <w:trPr>
          <w:trHeight w:val="330"/>
        </w:trPr>
        <w:tc>
          <w:tcPr>
            <w:tcW w:w="3465" w:type="dxa"/>
            <w:tcBorders>
              <w:top w:val="single" w:sz="5" w:space="0" w:color="CCCCCC"/>
              <w:left w:val="single" w:sz="5" w:space="0" w:color="CCCCCC"/>
              <w:bottom w:val="single" w:sz="5" w:space="0" w:color="8EA9DB"/>
              <w:right w:val="single" w:sz="5" w:space="0" w:color="CCCCCC"/>
            </w:tcBorders>
            <w:tcMar>
              <w:top w:w="40" w:type="dxa"/>
              <w:left w:w="40" w:type="dxa"/>
              <w:bottom w:w="40" w:type="dxa"/>
              <w:right w:w="40" w:type="dxa"/>
            </w:tcMar>
            <w:vAlign w:val="bottom"/>
          </w:tcPr>
          <w:p w:rsidR="00D35DC7" w:rsidRDefault="00982954">
            <w:pPr>
              <w:widowControl w:val="0"/>
              <w:spacing w:line="276" w:lineRule="auto"/>
              <w:rPr>
                <w:rFonts w:ascii="Arial" w:eastAsia="Arial" w:hAnsi="Arial" w:cs="Arial"/>
                <w:sz w:val="20"/>
                <w:szCs w:val="20"/>
              </w:rPr>
            </w:pPr>
            <w:r>
              <w:rPr>
                <w:rFonts w:ascii="Calibri" w:eastAsia="Calibri" w:hAnsi="Calibri" w:cs="Calibri"/>
                <w:sz w:val="22"/>
                <w:szCs w:val="22"/>
              </w:rPr>
              <w:t>Mesas Técnicas</w:t>
            </w:r>
          </w:p>
        </w:tc>
        <w:tc>
          <w:tcPr>
            <w:tcW w:w="2400" w:type="dxa"/>
            <w:tcBorders>
              <w:top w:val="single" w:sz="5" w:space="0" w:color="CCCCCC"/>
              <w:left w:val="single" w:sz="5" w:space="0" w:color="CCCCCC"/>
              <w:bottom w:val="single" w:sz="5" w:space="0" w:color="8EA9DB"/>
              <w:right w:val="single" w:sz="5" w:space="0" w:color="CCCCCC"/>
            </w:tcBorders>
            <w:tcMar>
              <w:top w:w="40" w:type="dxa"/>
              <w:left w:w="40" w:type="dxa"/>
              <w:bottom w:w="40" w:type="dxa"/>
              <w:right w:w="40" w:type="dxa"/>
            </w:tcMar>
            <w:vAlign w:val="bottom"/>
          </w:tcPr>
          <w:p w:rsidR="00D35DC7" w:rsidRDefault="00982954">
            <w:pPr>
              <w:widowControl w:val="0"/>
              <w:spacing w:line="276" w:lineRule="auto"/>
              <w:jc w:val="right"/>
              <w:rPr>
                <w:rFonts w:ascii="Arial" w:eastAsia="Arial" w:hAnsi="Arial" w:cs="Arial"/>
                <w:sz w:val="20"/>
                <w:szCs w:val="20"/>
              </w:rPr>
            </w:pPr>
            <w:r>
              <w:rPr>
                <w:rFonts w:ascii="Calibri" w:eastAsia="Calibri" w:hAnsi="Calibri" w:cs="Calibri"/>
                <w:sz w:val="22"/>
                <w:szCs w:val="22"/>
              </w:rPr>
              <w:t>40%</w:t>
            </w:r>
          </w:p>
        </w:tc>
      </w:tr>
      <w:tr w:rsidR="00D35DC7">
        <w:trPr>
          <w:trHeight w:val="330"/>
        </w:trPr>
        <w:tc>
          <w:tcPr>
            <w:tcW w:w="3465" w:type="dxa"/>
            <w:tcBorders>
              <w:top w:val="single" w:sz="5" w:space="0" w:color="8EA9DB"/>
              <w:left w:val="single" w:sz="5" w:space="0" w:color="CCCCCC"/>
              <w:bottom w:val="single" w:sz="5" w:space="0" w:color="CCCCCC"/>
              <w:right w:val="single" w:sz="5" w:space="0" w:color="CCCCCC"/>
            </w:tcBorders>
            <w:shd w:val="clear" w:color="auto" w:fill="D9E1F2"/>
            <w:tcMar>
              <w:top w:w="40" w:type="dxa"/>
              <w:left w:w="40" w:type="dxa"/>
              <w:bottom w:w="40" w:type="dxa"/>
              <w:right w:w="40" w:type="dxa"/>
            </w:tcMar>
            <w:vAlign w:val="bottom"/>
          </w:tcPr>
          <w:p w:rsidR="00D35DC7" w:rsidRDefault="00982954">
            <w:pPr>
              <w:widowControl w:val="0"/>
              <w:spacing w:line="276" w:lineRule="auto"/>
              <w:rPr>
                <w:rFonts w:ascii="Arial" w:eastAsia="Arial" w:hAnsi="Arial" w:cs="Arial"/>
                <w:sz w:val="20"/>
                <w:szCs w:val="20"/>
              </w:rPr>
            </w:pPr>
            <w:r>
              <w:rPr>
                <w:rFonts w:ascii="Calibri" w:eastAsia="Calibri" w:hAnsi="Calibri" w:cs="Calibri"/>
                <w:b/>
                <w:sz w:val="22"/>
                <w:szCs w:val="22"/>
              </w:rPr>
              <w:t>Total general</w:t>
            </w:r>
          </w:p>
        </w:tc>
        <w:tc>
          <w:tcPr>
            <w:tcW w:w="2400" w:type="dxa"/>
            <w:tcBorders>
              <w:top w:val="single" w:sz="5" w:space="0" w:color="8EA9DB"/>
              <w:left w:val="single" w:sz="5" w:space="0" w:color="CCCCCC"/>
              <w:bottom w:val="single" w:sz="5" w:space="0" w:color="CCCCCC"/>
              <w:right w:val="single" w:sz="5" w:space="0" w:color="CCCCCC"/>
            </w:tcBorders>
            <w:shd w:val="clear" w:color="auto" w:fill="D9E1F2"/>
            <w:tcMar>
              <w:top w:w="40" w:type="dxa"/>
              <w:left w:w="40" w:type="dxa"/>
              <w:bottom w:w="40" w:type="dxa"/>
              <w:right w:w="40" w:type="dxa"/>
            </w:tcMar>
            <w:vAlign w:val="bottom"/>
          </w:tcPr>
          <w:p w:rsidR="00D35DC7" w:rsidRDefault="00982954">
            <w:pPr>
              <w:widowControl w:val="0"/>
              <w:spacing w:line="276" w:lineRule="auto"/>
              <w:jc w:val="right"/>
              <w:rPr>
                <w:rFonts w:ascii="Arial" w:eastAsia="Arial" w:hAnsi="Arial" w:cs="Arial"/>
                <w:sz w:val="20"/>
                <w:szCs w:val="20"/>
              </w:rPr>
            </w:pPr>
            <w:r>
              <w:rPr>
                <w:rFonts w:ascii="Calibri" w:eastAsia="Calibri" w:hAnsi="Calibri" w:cs="Calibri"/>
                <w:b/>
                <w:sz w:val="22"/>
                <w:szCs w:val="22"/>
              </w:rPr>
              <w:t>100%</w:t>
            </w:r>
          </w:p>
        </w:tc>
      </w:tr>
    </w:tbl>
    <w:p w:rsidR="00D35DC7" w:rsidRDefault="00D35DC7">
      <w:pPr>
        <w:pBdr>
          <w:top w:val="none" w:sz="0" w:space="0" w:color="E3E3E3"/>
          <w:left w:val="none" w:sz="0" w:space="0" w:color="E3E3E3"/>
          <w:bottom w:val="none" w:sz="0" w:space="0" w:color="E3E3E3"/>
          <w:right w:val="none" w:sz="0" w:space="0" w:color="E3E3E3"/>
          <w:between w:val="none" w:sz="0" w:space="0" w:color="E3E3E3"/>
        </w:pBdr>
        <w:shd w:val="clear" w:color="auto" w:fill="FFFFFF"/>
        <w:spacing w:before="300"/>
        <w:jc w:val="both"/>
        <w:rPr>
          <w:rFonts w:ascii="Arial" w:eastAsia="Arial" w:hAnsi="Arial" w:cs="Arial"/>
        </w:rPr>
      </w:pPr>
    </w:p>
    <w:p w:rsidR="00D35DC7" w:rsidRDefault="00982954">
      <w:pPr>
        <w:pBdr>
          <w:top w:val="none" w:sz="0" w:space="0" w:color="E3E3E3"/>
          <w:left w:val="none" w:sz="0" w:space="0" w:color="E3E3E3"/>
          <w:bottom w:val="none" w:sz="0" w:space="0" w:color="E3E3E3"/>
          <w:right w:val="none" w:sz="0" w:space="0" w:color="E3E3E3"/>
          <w:between w:val="none" w:sz="0" w:space="0" w:color="E3E3E3"/>
        </w:pBdr>
        <w:shd w:val="clear" w:color="auto" w:fill="FFFFFF"/>
        <w:spacing w:before="300"/>
        <w:jc w:val="both"/>
        <w:rPr>
          <w:rFonts w:ascii="Arial" w:eastAsia="Arial" w:hAnsi="Arial" w:cs="Arial"/>
        </w:rPr>
      </w:pPr>
      <w:r>
        <w:rPr>
          <w:rFonts w:ascii="Arial" w:eastAsia="Arial" w:hAnsi="Arial" w:cs="Arial"/>
          <w:noProof/>
          <w:lang w:val="es-ES" w:eastAsia="es-ES"/>
        </w:rPr>
        <w:drawing>
          <wp:inline distT="114300" distB="114300" distL="114300" distR="114300">
            <wp:extent cx="5612130" cy="3467100"/>
            <wp:effectExtent l="0" t="0" r="0" b="0"/>
            <wp:docPr id="15" name="image2.png" descr="Gráfico"/>
            <wp:cNvGraphicFramePr/>
            <a:graphic xmlns:a="http://schemas.openxmlformats.org/drawingml/2006/main">
              <a:graphicData uri="http://schemas.openxmlformats.org/drawingml/2006/picture">
                <pic:pic xmlns:pic="http://schemas.openxmlformats.org/drawingml/2006/picture">
                  <pic:nvPicPr>
                    <pic:cNvPr id="0" name="image2.png" descr="Gráfico"/>
                    <pic:cNvPicPr preferRelativeResize="0"/>
                  </pic:nvPicPr>
                  <pic:blipFill>
                    <a:blip r:embed="rId9"/>
                    <a:srcRect/>
                    <a:stretch>
                      <a:fillRect/>
                    </a:stretch>
                  </pic:blipFill>
                  <pic:spPr>
                    <a:xfrm>
                      <a:off x="0" y="0"/>
                      <a:ext cx="5612130" cy="3467100"/>
                    </a:xfrm>
                    <a:prstGeom prst="rect">
                      <a:avLst/>
                    </a:prstGeom>
                    <a:ln/>
                  </pic:spPr>
                </pic:pic>
              </a:graphicData>
            </a:graphic>
          </wp:inline>
        </w:drawing>
      </w:r>
    </w:p>
    <w:p w:rsidR="00D35DC7" w:rsidRDefault="00982954">
      <w:pPr>
        <w:pBdr>
          <w:top w:val="none" w:sz="0" w:space="0" w:color="E3E3E3"/>
          <w:left w:val="none" w:sz="0" w:space="0" w:color="E3E3E3"/>
          <w:bottom w:val="none" w:sz="0" w:space="0" w:color="E3E3E3"/>
          <w:right w:val="none" w:sz="0" w:space="0" w:color="E3E3E3"/>
          <w:between w:val="none" w:sz="0" w:space="0" w:color="E3E3E3"/>
        </w:pBdr>
        <w:shd w:val="clear" w:color="auto" w:fill="FFFFFF"/>
        <w:spacing w:before="300" w:line="360" w:lineRule="auto"/>
        <w:jc w:val="both"/>
        <w:rPr>
          <w:rFonts w:ascii="Arial" w:eastAsia="Arial" w:hAnsi="Arial" w:cs="Arial"/>
        </w:rPr>
      </w:pPr>
      <w:r>
        <w:rPr>
          <w:rFonts w:ascii="Arial" w:eastAsia="Arial" w:hAnsi="Arial" w:cs="Arial"/>
        </w:rPr>
        <w:t>De la totalidad de espacios habilitados por la ponente, el 40% se destinó a mesas técnicas, donde se abordó de manera exhaustiva, y por temática, diversas instancias. Las comisiones y subcomisiones representaron un 20%, al igual que las audiencias públicas, que se destacaron como los espacios de mayor afluencia de participación ciudadana promovidos por la cabildante. Por otro lado, las reuniones con asociaciones y los foros organizados conformaron un 13% y un 7% del total, respectivamente.</w:t>
      </w:r>
    </w:p>
    <w:p w:rsidR="00D35DC7" w:rsidRDefault="00982954">
      <w:pPr>
        <w:pBdr>
          <w:top w:val="none" w:sz="0" w:space="0" w:color="E3E3E3"/>
          <w:left w:val="none" w:sz="0" w:space="0" w:color="E3E3E3"/>
          <w:bottom w:val="none" w:sz="0" w:space="0" w:color="E3E3E3"/>
          <w:right w:val="none" w:sz="0" w:space="0" w:color="E3E3E3"/>
          <w:between w:val="none" w:sz="0" w:space="0" w:color="E3E3E3"/>
        </w:pBdr>
        <w:shd w:val="clear" w:color="auto" w:fill="FFFFFF"/>
        <w:spacing w:before="300" w:line="360" w:lineRule="auto"/>
        <w:jc w:val="both"/>
        <w:rPr>
          <w:rFonts w:ascii="Arial" w:eastAsia="Arial" w:hAnsi="Arial" w:cs="Arial"/>
          <w:b/>
        </w:rPr>
      </w:pPr>
      <w:r>
        <w:rPr>
          <w:rFonts w:ascii="Arial" w:eastAsia="Arial" w:hAnsi="Arial" w:cs="Arial"/>
          <w:b/>
        </w:rPr>
        <w:t>Audiencias</w:t>
      </w:r>
    </w:p>
    <w:p w:rsidR="00D35DC7" w:rsidRDefault="00982954">
      <w:pPr>
        <w:pBdr>
          <w:top w:val="none" w:sz="0" w:space="0" w:color="E3E3E3"/>
          <w:left w:val="none" w:sz="0" w:space="0" w:color="E3E3E3"/>
          <w:bottom w:val="none" w:sz="0" w:space="0" w:color="E3E3E3"/>
          <w:right w:val="none" w:sz="0" w:space="0" w:color="E3E3E3"/>
          <w:between w:val="none" w:sz="0" w:space="0" w:color="E3E3E3"/>
        </w:pBdr>
        <w:shd w:val="clear" w:color="auto" w:fill="FFFFFF"/>
        <w:spacing w:before="300" w:line="360" w:lineRule="auto"/>
        <w:jc w:val="both"/>
        <w:rPr>
          <w:rFonts w:ascii="Arial" w:eastAsia="Arial" w:hAnsi="Arial" w:cs="Arial"/>
        </w:rPr>
      </w:pPr>
      <w:r>
        <w:rPr>
          <w:rFonts w:ascii="Arial" w:eastAsia="Arial" w:hAnsi="Arial" w:cs="Arial"/>
        </w:rPr>
        <w:t xml:space="preserve">La participación a las audiencias públicas convocadas tuvo una acogida de 444 ciudadanos que participaron exponiendo sus visiones de ciudad en diversos temas o escuchando la discusión en torno al plan distrital de desarrollo. </w:t>
      </w:r>
    </w:p>
    <w:p w:rsidR="00D35DC7" w:rsidRDefault="00982954">
      <w:pPr>
        <w:pBdr>
          <w:top w:val="none" w:sz="0" w:space="0" w:color="E3E3E3"/>
          <w:left w:val="none" w:sz="0" w:space="0" w:color="E3E3E3"/>
          <w:bottom w:val="none" w:sz="0" w:space="0" w:color="E3E3E3"/>
          <w:right w:val="none" w:sz="0" w:space="0" w:color="E3E3E3"/>
          <w:between w:val="none" w:sz="0" w:space="0" w:color="E3E3E3"/>
        </w:pBdr>
        <w:shd w:val="clear" w:color="auto" w:fill="FFFFFF"/>
        <w:spacing w:before="300" w:line="360" w:lineRule="auto"/>
        <w:jc w:val="both"/>
        <w:rPr>
          <w:rFonts w:ascii="Arial" w:eastAsia="Arial" w:hAnsi="Arial" w:cs="Arial"/>
        </w:rPr>
      </w:pPr>
      <w:r>
        <w:rPr>
          <w:rFonts w:ascii="Arial" w:eastAsia="Arial" w:hAnsi="Arial" w:cs="Arial"/>
        </w:rPr>
        <w:t xml:space="preserve">La Audiencia Pública “los Animales en el plan de Desarrollo”, contó con el interés de 104 participantes, dentro de ellos se encontraban distintas organizaciones, médicos veterinarios, biólogos, activistas, proteccionistas, prestadores de servicios y ciudadanos en general que expresaron sus iniciativas y observaciones sobre la protección animal en la ciudad. </w:t>
      </w:r>
    </w:p>
    <w:p w:rsidR="00D35DC7" w:rsidRDefault="00982954">
      <w:pPr>
        <w:shd w:val="clear" w:color="auto" w:fill="FFFFFF"/>
        <w:spacing w:before="150" w:line="360" w:lineRule="auto"/>
        <w:jc w:val="both"/>
        <w:rPr>
          <w:rFonts w:ascii="Roboto" w:eastAsia="Roboto" w:hAnsi="Roboto" w:cs="Roboto"/>
          <w:color w:val="0D0D0D"/>
          <w:highlight w:val="white"/>
        </w:rPr>
      </w:pPr>
      <w:r>
        <w:rPr>
          <w:rFonts w:ascii="Arial" w:eastAsia="Arial" w:hAnsi="Arial" w:cs="Arial"/>
        </w:rPr>
        <w:t>La segunda Audiencia Pública “Bogotá Camina Segura” organizada por la ponente</w:t>
      </w:r>
      <w:r>
        <w:rPr>
          <w:rFonts w:ascii="Roboto" w:eastAsia="Roboto" w:hAnsi="Roboto" w:cs="Roboto"/>
          <w:color w:val="0D0D0D"/>
          <w:highlight w:val="white"/>
        </w:rPr>
        <w:t>, convocó a más de 295 asistentes de diferentes sectores. Durante este encuentro se trataron temas como: juventud, mujeres, niñez, personas con discapacidad, cuidadores, seguridad, movilidad, cultura, espacio público, entre otros.</w:t>
      </w:r>
    </w:p>
    <w:p w:rsidR="00D35DC7" w:rsidRDefault="00982954">
      <w:pPr>
        <w:pBdr>
          <w:top w:val="none" w:sz="0" w:space="0" w:color="E3E3E3"/>
          <w:left w:val="none" w:sz="0" w:space="0" w:color="E3E3E3"/>
          <w:bottom w:val="none" w:sz="0" w:space="0" w:color="E3E3E3"/>
          <w:right w:val="none" w:sz="0" w:space="0" w:color="E3E3E3"/>
          <w:between w:val="none" w:sz="0" w:space="0" w:color="E3E3E3"/>
        </w:pBdr>
        <w:shd w:val="clear" w:color="auto" w:fill="FFFFFF"/>
        <w:spacing w:before="300" w:line="360" w:lineRule="auto"/>
        <w:jc w:val="both"/>
        <w:rPr>
          <w:rFonts w:ascii="Arial" w:eastAsia="Arial" w:hAnsi="Arial" w:cs="Arial"/>
        </w:rPr>
      </w:pPr>
      <w:r>
        <w:rPr>
          <w:rFonts w:ascii="Arial" w:eastAsia="Arial" w:hAnsi="Arial" w:cs="Arial"/>
        </w:rPr>
        <w:t xml:space="preserve">La Audiencia Pública “Aportes del Liderazgo cristiano en el PDD”,  contó con una acogida de 45 ciudadanos, dentro de los mismos representantes de distintas organizaciones religiosas, educadores, fundaciones y líderes del sector. </w:t>
      </w:r>
    </w:p>
    <w:p w:rsidR="00D35DC7" w:rsidRDefault="00D35DC7">
      <w:pPr>
        <w:shd w:val="clear" w:color="auto" w:fill="FFFFFF"/>
        <w:spacing w:before="150" w:line="360" w:lineRule="auto"/>
        <w:jc w:val="both"/>
        <w:rPr>
          <w:rFonts w:ascii="Roboto" w:eastAsia="Roboto" w:hAnsi="Roboto" w:cs="Roboto"/>
          <w:color w:val="0D0D0D"/>
          <w:highlight w:val="white"/>
        </w:rPr>
      </w:pPr>
    </w:p>
    <w:p w:rsidR="00D35DC7" w:rsidRDefault="00982954">
      <w:pPr>
        <w:shd w:val="clear" w:color="auto" w:fill="FFFFFF"/>
        <w:spacing w:before="150" w:line="360" w:lineRule="auto"/>
        <w:jc w:val="both"/>
        <w:rPr>
          <w:rFonts w:ascii="Arial" w:eastAsia="Arial" w:hAnsi="Arial" w:cs="Arial"/>
          <w:b/>
          <w:color w:val="0D0D0D"/>
          <w:highlight w:val="white"/>
        </w:rPr>
      </w:pPr>
      <w:r>
        <w:rPr>
          <w:rFonts w:ascii="Arial" w:eastAsia="Arial" w:hAnsi="Arial" w:cs="Arial"/>
          <w:b/>
          <w:color w:val="0D0D0D"/>
          <w:highlight w:val="white"/>
        </w:rPr>
        <w:t xml:space="preserve">Mesas técnicas </w:t>
      </w:r>
    </w:p>
    <w:p w:rsidR="00D35DC7" w:rsidRDefault="00982954">
      <w:pPr>
        <w:shd w:val="clear" w:color="auto" w:fill="FFFFFF"/>
        <w:spacing w:before="150" w:line="360" w:lineRule="auto"/>
        <w:jc w:val="both"/>
        <w:rPr>
          <w:rFonts w:ascii="Arial" w:eastAsia="Arial" w:hAnsi="Arial" w:cs="Arial"/>
          <w:color w:val="0D0D0D"/>
          <w:highlight w:val="white"/>
        </w:rPr>
      </w:pPr>
      <w:r>
        <w:rPr>
          <w:rFonts w:ascii="Arial" w:eastAsia="Arial" w:hAnsi="Arial" w:cs="Arial"/>
          <w:color w:val="0D0D0D"/>
          <w:highlight w:val="white"/>
        </w:rPr>
        <w:t xml:space="preserve">Se convocaron una serie de mesas técnicas para abrir espacios de diálogo y colaboración con expertos y representantes de distintos sectores, buscando que el plan de desarrollo refleje sus necesidades y propuestas. Este enfoque inclusivo  enriqueció el proceso y permitió conocer los verdaderos desafíos y oportunidades que enfrentan. </w:t>
      </w:r>
    </w:p>
    <w:p w:rsidR="00D35DC7" w:rsidRDefault="00982954">
      <w:pPr>
        <w:shd w:val="clear" w:color="auto" w:fill="FFFFFF"/>
        <w:spacing w:before="150" w:line="360" w:lineRule="auto"/>
        <w:jc w:val="both"/>
        <w:rPr>
          <w:rFonts w:ascii="Arial" w:eastAsia="Arial" w:hAnsi="Arial" w:cs="Arial"/>
          <w:color w:val="0D0D0D"/>
          <w:highlight w:val="white"/>
        </w:rPr>
      </w:pPr>
      <w:r>
        <w:rPr>
          <w:rFonts w:ascii="Arial" w:eastAsia="Arial" w:hAnsi="Arial" w:cs="Arial"/>
          <w:color w:val="0D0D0D"/>
          <w:highlight w:val="white"/>
        </w:rPr>
        <w:t>Mesas técnicas que se realizaron:</w:t>
      </w:r>
    </w:p>
    <w:p w:rsidR="00D35DC7" w:rsidRDefault="00982954">
      <w:pPr>
        <w:numPr>
          <w:ilvl w:val="0"/>
          <w:numId w:val="5"/>
        </w:numPr>
        <w:shd w:val="clear" w:color="auto" w:fill="FFFFFF"/>
        <w:spacing w:before="150" w:line="360" w:lineRule="auto"/>
        <w:jc w:val="both"/>
        <w:rPr>
          <w:rFonts w:ascii="Arial" w:eastAsia="Arial" w:hAnsi="Arial" w:cs="Arial"/>
        </w:rPr>
      </w:pPr>
      <w:r>
        <w:rPr>
          <w:rFonts w:ascii="Arial" w:eastAsia="Arial" w:hAnsi="Arial" w:cs="Arial"/>
        </w:rPr>
        <w:t xml:space="preserve">Mesa técnica con el Consejo Consultivo de Mujeres </w:t>
      </w:r>
    </w:p>
    <w:p w:rsidR="00D35DC7" w:rsidRDefault="00982954">
      <w:pPr>
        <w:numPr>
          <w:ilvl w:val="0"/>
          <w:numId w:val="5"/>
        </w:numPr>
        <w:shd w:val="clear" w:color="auto" w:fill="FFFFFF"/>
        <w:spacing w:line="360" w:lineRule="auto"/>
        <w:jc w:val="both"/>
        <w:rPr>
          <w:rFonts w:ascii="Arial" w:eastAsia="Arial" w:hAnsi="Arial" w:cs="Arial"/>
        </w:rPr>
      </w:pPr>
      <w:r>
        <w:rPr>
          <w:rFonts w:ascii="Arial" w:eastAsia="Arial" w:hAnsi="Arial" w:cs="Arial"/>
        </w:rPr>
        <w:t xml:space="preserve">Mesa técnica con Emprendedores </w:t>
      </w:r>
    </w:p>
    <w:p w:rsidR="00D35DC7" w:rsidRDefault="00982954">
      <w:pPr>
        <w:numPr>
          <w:ilvl w:val="0"/>
          <w:numId w:val="5"/>
        </w:numPr>
        <w:shd w:val="clear" w:color="auto" w:fill="FFFFFF"/>
        <w:spacing w:line="360" w:lineRule="auto"/>
        <w:jc w:val="both"/>
        <w:rPr>
          <w:rFonts w:ascii="Arial" w:eastAsia="Arial" w:hAnsi="Arial" w:cs="Arial"/>
        </w:rPr>
      </w:pPr>
      <w:r>
        <w:rPr>
          <w:rFonts w:ascii="Arial" w:eastAsia="Arial" w:hAnsi="Arial" w:cs="Arial"/>
        </w:rPr>
        <w:t xml:space="preserve">Mesa Técnica con asociaciones de colegios privados </w:t>
      </w:r>
    </w:p>
    <w:p w:rsidR="00D35DC7" w:rsidRDefault="00982954">
      <w:pPr>
        <w:numPr>
          <w:ilvl w:val="0"/>
          <w:numId w:val="5"/>
        </w:numPr>
        <w:shd w:val="clear" w:color="auto" w:fill="FFFFFF"/>
        <w:spacing w:line="360" w:lineRule="auto"/>
        <w:jc w:val="both"/>
        <w:rPr>
          <w:rFonts w:ascii="Arial" w:eastAsia="Arial" w:hAnsi="Arial" w:cs="Arial"/>
        </w:rPr>
      </w:pPr>
      <w:r>
        <w:rPr>
          <w:rFonts w:ascii="Arial" w:eastAsia="Arial" w:hAnsi="Arial" w:cs="Arial"/>
        </w:rPr>
        <w:t xml:space="preserve">Mesas técnica Vanti </w:t>
      </w:r>
    </w:p>
    <w:p w:rsidR="00D35DC7" w:rsidRDefault="00982954">
      <w:pPr>
        <w:numPr>
          <w:ilvl w:val="0"/>
          <w:numId w:val="5"/>
        </w:numPr>
        <w:shd w:val="clear" w:color="auto" w:fill="FFFFFF"/>
        <w:spacing w:line="360" w:lineRule="auto"/>
        <w:jc w:val="both"/>
        <w:rPr>
          <w:rFonts w:ascii="Arial" w:eastAsia="Arial" w:hAnsi="Arial" w:cs="Arial"/>
        </w:rPr>
      </w:pPr>
      <w:r>
        <w:rPr>
          <w:rFonts w:ascii="Arial" w:eastAsia="Arial" w:hAnsi="Arial" w:cs="Arial"/>
        </w:rPr>
        <w:t xml:space="preserve">Mesa Técnica Junta Administradora Local de Bosa </w:t>
      </w:r>
    </w:p>
    <w:p w:rsidR="00D35DC7" w:rsidRDefault="00982954">
      <w:pPr>
        <w:numPr>
          <w:ilvl w:val="0"/>
          <w:numId w:val="5"/>
        </w:numPr>
        <w:shd w:val="clear" w:color="auto" w:fill="FFFFFF"/>
        <w:spacing w:line="360" w:lineRule="auto"/>
        <w:jc w:val="both"/>
        <w:rPr>
          <w:rFonts w:ascii="Arial" w:eastAsia="Arial" w:hAnsi="Arial" w:cs="Arial"/>
        </w:rPr>
      </w:pPr>
      <w:r>
        <w:rPr>
          <w:rFonts w:ascii="Arial" w:eastAsia="Arial" w:hAnsi="Arial" w:cs="Arial"/>
        </w:rPr>
        <w:t>Mesa de Deportes</w:t>
      </w:r>
    </w:p>
    <w:p w:rsidR="00D35DC7" w:rsidRDefault="00982954">
      <w:pPr>
        <w:numPr>
          <w:ilvl w:val="0"/>
          <w:numId w:val="5"/>
        </w:numPr>
        <w:shd w:val="clear" w:color="auto" w:fill="FFFFFF"/>
        <w:spacing w:line="360" w:lineRule="auto"/>
        <w:jc w:val="both"/>
        <w:rPr>
          <w:rFonts w:ascii="Arial" w:eastAsia="Arial" w:hAnsi="Arial" w:cs="Arial"/>
        </w:rPr>
      </w:pPr>
      <w:r>
        <w:rPr>
          <w:rFonts w:ascii="Arial" w:eastAsia="Arial" w:hAnsi="Arial" w:cs="Arial"/>
        </w:rPr>
        <w:t xml:space="preserve">Fenascol </w:t>
      </w:r>
    </w:p>
    <w:p w:rsidR="00D35DC7" w:rsidRDefault="00982954">
      <w:pPr>
        <w:numPr>
          <w:ilvl w:val="0"/>
          <w:numId w:val="5"/>
        </w:numPr>
        <w:shd w:val="clear" w:color="auto" w:fill="FFFFFF"/>
        <w:spacing w:line="360" w:lineRule="auto"/>
        <w:jc w:val="both"/>
        <w:rPr>
          <w:rFonts w:ascii="Arial" w:eastAsia="Arial" w:hAnsi="Arial" w:cs="Arial"/>
        </w:rPr>
      </w:pPr>
      <w:r>
        <w:rPr>
          <w:rFonts w:ascii="Arial" w:eastAsia="Arial" w:hAnsi="Arial" w:cs="Arial"/>
        </w:rPr>
        <w:t xml:space="preserve">Asociación de Juntas de acción comunal Bogotá </w:t>
      </w:r>
    </w:p>
    <w:p w:rsidR="00D35DC7" w:rsidRDefault="00D35DC7">
      <w:pPr>
        <w:shd w:val="clear" w:color="auto" w:fill="FFFFFF"/>
        <w:spacing w:before="150" w:line="360" w:lineRule="auto"/>
        <w:jc w:val="both"/>
        <w:rPr>
          <w:rFonts w:ascii="Arial" w:eastAsia="Arial" w:hAnsi="Arial" w:cs="Arial"/>
        </w:rPr>
      </w:pPr>
    </w:p>
    <w:p w:rsidR="00D35DC7" w:rsidRDefault="00982954">
      <w:pPr>
        <w:shd w:val="clear" w:color="auto" w:fill="FFFFFF"/>
        <w:spacing w:before="150" w:line="360" w:lineRule="auto"/>
        <w:jc w:val="both"/>
        <w:rPr>
          <w:rFonts w:ascii="Arial" w:eastAsia="Arial" w:hAnsi="Arial" w:cs="Arial"/>
          <w:b/>
        </w:rPr>
      </w:pPr>
      <w:r>
        <w:rPr>
          <w:rFonts w:ascii="Arial" w:eastAsia="Arial" w:hAnsi="Arial" w:cs="Arial"/>
          <w:b/>
        </w:rPr>
        <w:t>Foros</w:t>
      </w:r>
    </w:p>
    <w:p w:rsidR="00D35DC7" w:rsidRDefault="00982954">
      <w:pPr>
        <w:shd w:val="clear" w:color="auto" w:fill="FFFFFF"/>
        <w:spacing w:before="150" w:line="360" w:lineRule="auto"/>
        <w:jc w:val="both"/>
        <w:rPr>
          <w:rFonts w:ascii="Roboto" w:eastAsia="Roboto" w:hAnsi="Roboto" w:cs="Roboto"/>
          <w:color w:val="0D0D0D"/>
          <w:highlight w:val="white"/>
        </w:rPr>
      </w:pPr>
      <w:r>
        <w:rPr>
          <w:rFonts w:ascii="Roboto" w:eastAsia="Roboto" w:hAnsi="Roboto" w:cs="Roboto"/>
          <w:color w:val="0D0D0D"/>
          <w:highlight w:val="white"/>
        </w:rPr>
        <w:t>La cabildante como presidenta de la Comisión Legal para la Equidad de la Mujer,  desarrolló el foro “Las mujeres en el plan de desarrollo”, este espacio permitió que líderes, académicas, activistas y ciudadanas compartieran experiencias, propuestas y desafíos en torno a políticas y programas que impactan directamente en la vida de las mujeres. Cada aporte enriqueció el debate y contribuyó a la elaboración de propuestas inclusivas y sensibles a las necesidades de género. La asistencia al foro fue de 134 ciudadanas, permitiendo una participación democrática y construcción colectiva, sentando así las bases para un futuro más justo e igualitario para todas las personas.</w:t>
      </w:r>
    </w:p>
    <w:p w:rsidR="00D35DC7" w:rsidRDefault="00D35DC7">
      <w:pPr>
        <w:shd w:val="clear" w:color="auto" w:fill="FFFFFF"/>
        <w:spacing w:before="150" w:line="360" w:lineRule="auto"/>
        <w:jc w:val="both"/>
        <w:rPr>
          <w:rFonts w:ascii="Roboto" w:eastAsia="Roboto" w:hAnsi="Roboto" w:cs="Roboto"/>
          <w:color w:val="0D0D0D"/>
          <w:highlight w:val="white"/>
        </w:rPr>
      </w:pPr>
    </w:p>
    <w:p w:rsidR="00D35DC7" w:rsidRDefault="00D35DC7">
      <w:pPr>
        <w:shd w:val="clear" w:color="auto" w:fill="FFFFFF"/>
        <w:spacing w:before="150" w:line="360" w:lineRule="auto"/>
        <w:jc w:val="both"/>
        <w:rPr>
          <w:rFonts w:ascii="Roboto" w:eastAsia="Roboto" w:hAnsi="Roboto" w:cs="Roboto"/>
          <w:color w:val="0D0D0D"/>
          <w:highlight w:val="white"/>
        </w:rPr>
      </w:pPr>
    </w:p>
    <w:p w:rsidR="00D35DC7" w:rsidRDefault="00D35DC7">
      <w:pPr>
        <w:shd w:val="clear" w:color="auto" w:fill="FFFFFF"/>
        <w:spacing w:before="150" w:line="360" w:lineRule="auto"/>
        <w:jc w:val="both"/>
        <w:rPr>
          <w:rFonts w:ascii="Roboto" w:eastAsia="Roboto" w:hAnsi="Roboto" w:cs="Roboto"/>
          <w:color w:val="0D0D0D"/>
          <w:highlight w:val="white"/>
        </w:rPr>
      </w:pPr>
    </w:p>
    <w:p w:rsidR="00D35DC7" w:rsidRDefault="00982954">
      <w:pPr>
        <w:shd w:val="clear" w:color="auto" w:fill="FFFFFF"/>
        <w:spacing w:before="150" w:line="360" w:lineRule="auto"/>
        <w:jc w:val="both"/>
        <w:rPr>
          <w:rFonts w:ascii="Roboto" w:eastAsia="Roboto" w:hAnsi="Roboto" w:cs="Roboto"/>
          <w:b/>
          <w:color w:val="0D0D0D"/>
          <w:highlight w:val="white"/>
        </w:rPr>
      </w:pPr>
      <w:r>
        <w:rPr>
          <w:rFonts w:ascii="Roboto" w:eastAsia="Roboto" w:hAnsi="Roboto" w:cs="Roboto"/>
          <w:b/>
          <w:color w:val="0D0D0D"/>
          <w:highlight w:val="white"/>
        </w:rPr>
        <w:t xml:space="preserve">Comisiones y Subcomisiones </w:t>
      </w:r>
    </w:p>
    <w:p w:rsidR="00D35DC7" w:rsidRDefault="00982954">
      <w:pPr>
        <w:shd w:val="clear" w:color="auto" w:fill="FFFFFF"/>
        <w:spacing w:before="150" w:line="360" w:lineRule="auto"/>
        <w:jc w:val="both"/>
        <w:rPr>
          <w:rFonts w:ascii="Roboto" w:eastAsia="Roboto" w:hAnsi="Roboto" w:cs="Roboto"/>
          <w:color w:val="0D0D0D"/>
          <w:highlight w:val="white"/>
        </w:rPr>
      </w:pPr>
      <w:r>
        <w:rPr>
          <w:rFonts w:ascii="Roboto" w:eastAsia="Roboto" w:hAnsi="Roboto" w:cs="Roboto"/>
          <w:color w:val="0D0D0D"/>
          <w:highlight w:val="white"/>
        </w:rPr>
        <w:t xml:space="preserve">A través de las Comisiones y Subcomisiones, se logró un análisis detallado y exhaustivo de diferentes aspectos contemplados en el plan de desarrollo. Estas instancias proporcionaron un espacio estructurado para discutir y elaborar propuestas en el tema de niñez, protección animal, construcción de la Alo Norte, seguridad, espacios seguros frente al consumo de drogas, cuidadores, personas con discapacidad, entre otros.  Al involucrar a expertos, funcionarios públicos y representantes de la sociedad civil en estas comisiones, se garantizó una perspectiva integral y multidisciplinaria en la formulación de propuestas. </w:t>
      </w:r>
    </w:p>
    <w:p w:rsidR="00D35DC7" w:rsidRDefault="00D35DC7">
      <w:pPr>
        <w:shd w:val="clear" w:color="auto" w:fill="FFFFFF"/>
        <w:spacing w:before="150" w:line="360" w:lineRule="auto"/>
        <w:jc w:val="both"/>
        <w:rPr>
          <w:rFonts w:ascii="Roboto" w:eastAsia="Roboto" w:hAnsi="Roboto" w:cs="Roboto"/>
          <w:color w:val="0D0D0D"/>
          <w:highlight w:val="white"/>
        </w:rPr>
      </w:pPr>
    </w:p>
    <w:p w:rsidR="00D35DC7" w:rsidRDefault="00982954">
      <w:pPr>
        <w:shd w:val="clear" w:color="auto" w:fill="FFFFFF"/>
        <w:spacing w:before="150" w:line="360" w:lineRule="auto"/>
        <w:jc w:val="both"/>
        <w:rPr>
          <w:rFonts w:ascii="Arial" w:eastAsia="Arial" w:hAnsi="Arial" w:cs="Arial"/>
          <w:b/>
        </w:rPr>
      </w:pPr>
      <w:r>
        <w:rPr>
          <w:rFonts w:ascii="Arial" w:eastAsia="Arial" w:hAnsi="Arial" w:cs="Arial"/>
          <w:b/>
        </w:rPr>
        <w:t>5.2 Reuniones realizadas por la administración</w:t>
      </w:r>
    </w:p>
    <w:p w:rsidR="00D35DC7" w:rsidRDefault="00D35DC7">
      <w:pPr>
        <w:shd w:val="clear" w:color="auto" w:fill="FFFFFF"/>
        <w:spacing w:before="150" w:line="360" w:lineRule="auto"/>
        <w:jc w:val="both"/>
        <w:rPr>
          <w:rFonts w:ascii="Arial" w:eastAsia="Arial" w:hAnsi="Arial" w:cs="Arial"/>
          <w:b/>
        </w:rPr>
      </w:pPr>
    </w:p>
    <w:p w:rsidR="00D35DC7" w:rsidRDefault="00982954">
      <w:pPr>
        <w:pBdr>
          <w:top w:val="none" w:sz="0" w:space="0" w:color="E3E3E3"/>
          <w:left w:val="none" w:sz="0" w:space="0" w:color="E3E3E3"/>
          <w:bottom w:val="none" w:sz="0" w:space="0" w:color="E3E3E3"/>
          <w:right w:val="none" w:sz="0" w:space="0" w:color="E3E3E3"/>
          <w:between w:val="none" w:sz="0" w:space="0" w:color="E3E3E3"/>
        </w:pBdr>
        <w:shd w:val="clear" w:color="auto" w:fill="FFFFFF"/>
        <w:spacing w:after="300" w:line="360" w:lineRule="auto"/>
        <w:jc w:val="both"/>
        <w:rPr>
          <w:rFonts w:ascii="Arial" w:eastAsia="Arial" w:hAnsi="Arial" w:cs="Arial"/>
        </w:rPr>
      </w:pPr>
      <w:r>
        <w:rPr>
          <w:rFonts w:ascii="Arial" w:eastAsia="Arial" w:hAnsi="Arial" w:cs="Arial"/>
        </w:rPr>
        <w:t xml:space="preserve">La administración en su ejercicio de formulación y construcción del plan distrital de desarrollo convocó distintas instancias de participación ciudadana. La estrategia de participación para la formulación del Plan Distrital de Desarrollo (PDD) está fundamentada en la Ley 152 de 1994 y en el Acuerdo 878 de 2023, entre otras normas, que buscan garantizar el principio constitucional de participación ciudadana en la toma de decisiones de la planeación de los territorios. </w:t>
      </w:r>
    </w:p>
    <w:p w:rsidR="00D35DC7" w:rsidRDefault="00982954">
      <w:pPr>
        <w:pBdr>
          <w:top w:val="none" w:sz="0" w:space="0" w:color="E3E3E3"/>
          <w:left w:val="none" w:sz="0" w:space="0" w:color="E3E3E3"/>
          <w:bottom w:val="none" w:sz="0" w:space="0" w:color="E3E3E3"/>
          <w:right w:val="none" w:sz="0" w:space="0" w:color="E3E3E3"/>
          <w:between w:val="none" w:sz="0" w:space="0" w:color="E3E3E3"/>
        </w:pBdr>
        <w:shd w:val="clear" w:color="auto" w:fill="FFFFFF"/>
        <w:spacing w:after="300" w:line="360" w:lineRule="auto"/>
        <w:jc w:val="both"/>
        <w:rPr>
          <w:rFonts w:ascii="Arial" w:eastAsia="Arial" w:hAnsi="Arial" w:cs="Arial"/>
        </w:rPr>
      </w:pPr>
      <w:r>
        <w:rPr>
          <w:rFonts w:ascii="Arial" w:eastAsia="Arial" w:hAnsi="Arial" w:cs="Arial"/>
        </w:rPr>
        <w:t xml:space="preserve">Dentro de las estrategias implementadas se vinculó a la ciudadanía a participar en la construcción de tan importante hoja de ruta. </w:t>
      </w:r>
    </w:p>
    <w:p w:rsidR="00D35DC7" w:rsidRDefault="00982954">
      <w:pPr>
        <w:pBdr>
          <w:top w:val="none" w:sz="0" w:space="0" w:color="E3E3E3"/>
          <w:left w:val="none" w:sz="0" w:space="0" w:color="E3E3E3"/>
          <w:bottom w:val="none" w:sz="0" w:space="0" w:color="E3E3E3"/>
          <w:right w:val="none" w:sz="0" w:space="0" w:color="E3E3E3"/>
          <w:between w:val="none" w:sz="0" w:space="0" w:color="E3E3E3"/>
        </w:pBdr>
        <w:shd w:val="clear" w:color="auto" w:fill="FFFFFF"/>
        <w:spacing w:after="300" w:line="360" w:lineRule="auto"/>
        <w:jc w:val="both"/>
        <w:rPr>
          <w:rFonts w:ascii="Arial" w:eastAsia="Arial" w:hAnsi="Arial" w:cs="Arial"/>
          <w:b/>
        </w:rPr>
      </w:pPr>
      <w:r>
        <w:rPr>
          <w:rFonts w:ascii="Arial" w:eastAsia="Arial" w:hAnsi="Arial" w:cs="Arial"/>
          <w:b/>
        </w:rPr>
        <w:t xml:space="preserve">Participación Ciudadana en el PDD mediante Chatico: </w:t>
      </w:r>
    </w:p>
    <w:p w:rsidR="00D35DC7" w:rsidRDefault="00982954">
      <w:pPr>
        <w:pBdr>
          <w:top w:val="none" w:sz="0" w:space="0" w:color="E3E3E3"/>
          <w:left w:val="none" w:sz="0" w:space="0" w:color="E3E3E3"/>
          <w:bottom w:val="none" w:sz="0" w:space="0" w:color="E3E3E3"/>
          <w:right w:val="none" w:sz="0" w:space="0" w:color="E3E3E3"/>
          <w:between w:val="none" w:sz="0" w:space="0" w:color="E3E3E3"/>
        </w:pBdr>
        <w:shd w:val="clear" w:color="auto" w:fill="FFFFFF"/>
        <w:spacing w:after="300" w:line="360" w:lineRule="auto"/>
        <w:jc w:val="both"/>
        <w:rPr>
          <w:rFonts w:ascii="Arial" w:eastAsia="Arial" w:hAnsi="Arial" w:cs="Arial"/>
        </w:rPr>
      </w:pPr>
      <w:r>
        <w:rPr>
          <w:rFonts w:ascii="Arial" w:eastAsia="Arial" w:hAnsi="Arial" w:cs="Arial"/>
        </w:rPr>
        <w:t xml:space="preserve">El análisis de los datos obtenidos de la participación en “Chatico” sobre el plan de desarrollo distrital en Bogotá muestra la percepción ciudadana. En total, se recibieron lo que corresponde a una muestra de 148.130 ciudadanos. Entre estas respuestas, el 57.52% correspondió a mujeres y el 41.85% a hombres. </w:t>
      </w:r>
    </w:p>
    <w:p w:rsidR="00D35DC7" w:rsidRDefault="00982954">
      <w:pPr>
        <w:pBdr>
          <w:top w:val="none" w:sz="0" w:space="0" w:color="E3E3E3"/>
          <w:left w:val="none" w:sz="0" w:space="0" w:color="E3E3E3"/>
          <w:bottom w:val="none" w:sz="0" w:space="0" w:color="E3E3E3"/>
          <w:right w:val="none" w:sz="0" w:space="0" w:color="E3E3E3"/>
          <w:between w:val="none" w:sz="0" w:space="0" w:color="E3E3E3"/>
        </w:pBdr>
        <w:shd w:val="clear" w:color="auto" w:fill="FFFFFF"/>
        <w:spacing w:after="300" w:line="276" w:lineRule="auto"/>
        <w:jc w:val="center"/>
        <w:rPr>
          <w:rFonts w:ascii="Arial" w:eastAsia="Arial" w:hAnsi="Arial" w:cs="Arial"/>
        </w:rPr>
      </w:pPr>
      <w:r>
        <w:rPr>
          <w:rFonts w:ascii="Arial" w:eastAsia="Arial" w:hAnsi="Arial" w:cs="Arial"/>
          <w:noProof/>
          <w:lang w:val="es-ES" w:eastAsia="es-ES"/>
        </w:rPr>
        <w:drawing>
          <wp:inline distT="114300" distB="114300" distL="114300" distR="114300">
            <wp:extent cx="3948113" cy="2429608"/>
            <wp:effectExtent l="0" t="0" r="0" b="0"/>
            <wp:docPr id="25" name="image15.png" descr="Gráfico"/>
            <wp:cNvGraphicFramePr/>
            <a:graphic xmlns:a="http://schemas.openxmlformats.org/drawingml/2006/main">
              <a:graphicData uri="http://schemas.openxmlformats.org/drawingml/2006/picture">
                <pic:pic xmlns:pic="http://schemas.openxmlformats.org/drawingml/2006/picture">
                  <pic:nvPicPr>
                    <pic:cNvPr id="0" name="image15.png" descr="Gráfico"/>
                    <pic:cNvPicPr preferRelativeResize="0"/>
                  </pic:nvPicPr>
                  <pic:blipFill>
                    <a:blip r:embed="rId10"/>
                    <a:srcRect/>
                    <a:stretch>
                      <a:fillRect/>
                    </a:stretch>
                  </pic:blipFill>
                  <pic:spPr>
                    <a:xfrm>
                      <a:off x="0" y="0"/>
                      <a:ext cx="3948113" cy="2429608"/>
                    </a:xfrm>
                    <a:prstGeom prst="rect">
                      <a:avLst/>
                    </a:prstGeom>
                    <a:ln/>
                  </pic:spPr>
                </pic:pic>
              </a:graphicData>
            </a:graphic>
          </wp:inline>
        </w:drawing>
      </w:r>
    </w:p>
    <w:p w:rsidR="00D35DC7" w:rsidRDefault="00982954">
      <w:pPr>
        <w:pBdr>
          <w:top w:val="none" w:sz="0" w:space="0" w:color="E3E3E3"/>
          <w:left w:val="none" w:sz="0" w:space="0" w:color="E3E3E3"/>
          <w:bottom w:val="none" w:sz="0" w:space="0" w:color="E3E3E3"/>
          <w:right w:val="none" w:sz="0" w:space="0" w:color="E3E3E3"/>
          <w:between w:val="none" w:sz="0" w:space="0" w:color="E3E3E3"/>
        </w:pBdr>
        <w:shd w:val="clear" w:color="auto" w:fill="FFFFFF"/>
        <w:spacing w:before="300" w:after="300" w:line="276" w:lineRule="auto"/>
        <w:jc w:val="center"/>
        <w:rPr>
          <w:rFonts w:ascii="Arial" w:eastAsia="Arial" w:hAnsi="Arial" w:cs="Arial"/>
        </w:rPr>
      </w:pPr>
      <w:r>
        <w:rPr>
          <w:rFonts w:ascii="Arial" w:eastAsia="Arial" w:hAnsi="Arial" w:cs="Arial"/>
          <w:sz w:val="18"/>
          <w:szCs w:val="18"/>
        </w:rPr>
        <w:t xml:space="preserve">Fuente: Datos de Chatico </w:t>
      </w:r>
    </w:p>
    <w:p w:rsidR="00D35DC7" w:rsidRDefault="00982954">
      <w:pPr>
        <w:pBdr>
          <w:top w:val="none" w:sz="0" w:space="0" w:color="E3E3E3"/>
          <w:left w:val="none" w:sz="0" w:space="0" w:color="E3E3E3"/>
          <w:bottom w:val="none" w:sz="0" w:space="0" w:color="E3E3E3"/>
          <w:right w:val="none" w:sz="0" w:space="0" w:color="E3E3E3"/>
          <w:between w:val="none" w:sz="0" w:space="0" w:color="E3E3E3"/>
        </w:pBdr>
        <w:shd w:val="clear" w:color="auto" w:fill="FFFFFF"/>
        <w:spacing w:before="300" w:after="300" w:line="360" w:lineRule="auto"/>
        <w:jc w:val="both"/>
        <w:rPr>
          <w:rFonts w:ascii="Arial" w:eastAsia="Arial" w:hAnsi="Arial" w:cs="Arial"/>
        </w:rPr>
      </w:pPr>
      <w:r>
        <w:rPr>
          <w:rFonts w:ascii="Arial" w:eastAsia="Arial" w:hAnsi="Arial" w:cs="Arial"/>
        </w:rPr>
        <w:t>Al desglosar la participación por localidades, se destaca que la localidad de Kennedy registró la mayor participación ciudadana, alcanzando un 11.53%, seguida de la localidad de Suba con un 9.63%. Ciudad Bolívar y Teusaquillo también mostraron una participación importante, con un 7.93% y 7.90% respectivamente.</w:t>
      </w:r>
    </w:p>
    <w:p w:rsidR="00D35DC7" w:rsidRDefault="00982954">
      <w:pPr>
        <w:pBdr>
          <w:top w:val="none" w:sz="0" w:space="0" w:color="E3E3E3"/>
          <w:left w:val="none" w:sz="0" w:space="0" w:color="E3E3E3"/>
          <w:bottom w:val="none" w:sz="0" w:space="0" w:color="E3E3E3"/>
          <w:right w:val="none" w:sz="0" w:space="0" w:color="E3E3E3"/>
          <w:between w:val="none" w:sz="0" w:space="0" w:color="E3E3E3"/>
        </w:pBdr>
        <w:shd w:val="clear" w:color="auto" w:fill="FFFFFF"/>
        <w:spacing w:before="300" w:after="300" w:line="276" w:lineRule="auto"/>
        <w:jc w:val="center"/>
        <w:rPr>
          <w:rFonts w:ascii="Arial" w:eastAsia="Arial" w:hAnsi="Arial" w:cs="Arial"/>
        </w:rPr>
      </w:pPr>
      <w:r>
        <w:rPr>
          <w:rFonts w:ascii="Arial" w:eastAsia="Arial" w:hAnsi="Arial" w:cs="Arial"/>
          <w:noProof/>
          <w:lang w:val="es-ES" w:eastAsia="es-ES"/>
        </w:rPr>
        <w:drawing>
          <wp:inline distT="114300" distB="114300" distL="114300" distR="114300">
            <wp:extent cx="5496878" cy="2986419"/>
            <wp:effectExtent l="0" t="0" r="0" b="0"/>
            <wp:docPr id="22" name="image5.png" descr="Gráfico"/>
            <wp:cNvGraphicFramePr/>
            <a:graphic xmlns:a="http://schemas.openxmlformats.org/drawingml/2006/main">
              <a:graphicData uri="http://schemas.openxmlformats.org/drawingml/2006/picture">
                <pic:pic xmlns:pic="http://schemas.openxmlformats.org/drawingml/2006/picture">
                  <pic:nvPicPr>
                    <pic:cNvPr id="0" name="image5.png" descr="Gráfico"/>
                    <pic:cNvPicPr preferRelativeResize="0"/>
                  </pic:nvPicPr>
                  <pic:blipFill>
                    <a:blip r:embed="rId11"/>
                    <a:srcRect/>
                    <a:stretch>
                      <a:fillRect/>
                    </a:stretch>
                  </pic:blipFill>
                  <pic:spPr>
                    <a:xfrm>
                      <a:off x="0" y="0"/>
                      <a:ext cx="5496878" cy="2986419"/>
                    </a:xfrm>
                    <a:prstGeom prst="rect">
                      <a:avLst/>
                    </a:prstGeom>
                    <a:ln/>
                  </pic:spPr>
                </pic:pic>
              </a:graphicData>
            </a:graphic>
          </wp:inline>
        </w:drawing>
      </w:r>
    </w:p>
    <w:p w:rsidR="00D35DC7" w:rsidRDefault="00982954">
      <w:pPr>
        <w:pBdr>
          <w:top w:val="none" w:sz="0" w:space="0" w:color="E3E3E3"/>
          <w:left w:val="none" w:sz="0" w:space="0" w:color="E3E3E3"/>
          <w:bottom w:val="none" w:sz="0" w:space="0" w:color="E3E3E3"/>
          <w:right w:val="none" w:sz="0" w:space="0" w:color="E3E3E3"/>
          <w:between w:val="none" w:sz="0" w:space="0" w:color="E3E3E3"/>
        </w:pBdr>
        <w:shd w:val="clear" w:color="auto" w:fill="FFFFFF"/>
        <w:spacing w:before="300" w:after="300" w:line="276" w:lineRule="auto"/>
        <w:jc w:val="center"/>
        <w:rPr>
          <w:rFonts w:ascii="Arial" w:eastAsia="Arial" w:hAnsi="Arial" w:cs="Arial"/>
          <w:sz w:val="18"/>
          <w:szCs w:val="18"/>
        </w:rPr>
      </w:pPr>
      <w:r>
        <w:rPr>
          <w:rFonts w:ascii="Arial" w:eastAsia="Arial" w:hAnsi="Arial" w:cs="Arial"/>
          <w:sz w:val="18"/>
          <w:szCs w:val="18"/>
        </w:rPr>
        <w:t xml:space="preserve">Fuente: Datos de Chatico </w:t>
      </w:r>
    </w:p>
    <w:p w:rsidR="00D35DC7" w:rsidRDefault="00D35DC7">
      <w:pPr>
        <w:pBdr>
          <w:top w:val="none" w:sz="0" w:space="0" w:color="E3E3E3"/>
          <w:left w:val="none" w:sz="0" w:space="0" w:color="E3E3E3"/>
          <w:bottom w:val="none" w:sz="0" w:space="0" w:color="E3E3E3"/>
          <w:right w:val="none" w:sz="0" w:space="0" w:color="E3E3E3"/>
          <w:between w:val="none" w:sz="0" w:space="0" w:color="E3E3E3"/>
        </w:pBdr>
        <w:shd w:val="clear" w:color="auto" w:fill="FFFFFF"/>
        <w:spacing w:before="300" w:after="300" w:line="360" w:lineRule="auto"/>
        <w:jc w:val="center"/>
        <w:rPr>
          <w:rFonts w:ascii="Arial" w:eastAsia="Arial" w:hAnsi="Arial" w:cs="Arial"/>
        </w:rPr>
      </w:pPr>
    </w:p>
    <w:p w:rsidR="00D35DC7" w:rsidRDefault="00982954">
      <w:pPr>
        <w:pBdr>
          <w:top w:val="none" w:sz="0" w:space="0" w:color="E3E3E3"/>
          <w:left w:val="none" w:sz="0" w:space="0" w:color="E3E3E3"/>
          <w:bottom w:val="none" w:sz="0" w:space="0" w:color="E3E3E3"/>
          <w:right w:val="none" w:sz="0" w:space="0" w:color="E3E3E3"/>
          <w:between w:val="none" w:sz="0" w:space="0" w:color="E3E3E3"/>
        </w:pBdr>
        <w:shd w:val="clear" w:color="auto" w:fill="FFFFFF"/>
        <w:spacing w:before="300" w:after="300" w:line="360" w:lineRule="auto"/>
        <w:jc w:val="both"/>
        <w:rPr>
          <w:rFonts w:ascii="Arial" w:eastAsia="Arial" w:hAnsi="Arial" w:cs="Arial"/>
        </w:rPr>
      </w:pPr>
      <w:r>
        <w:rPr>
          <w:rFonts w:ascii="Arial" w:eastAsia="Arial" w:hAnsi="Arial" w:cs="Arial"/>
        </w:rPr>
        <w:t>En cuanto al rango de edad de los participantes, se observa que el grupo más activo está en el rango de 29 a 50 años, representando el 45.23% de las respuestas. Le sigue el grupo de 51 a 65 años, con un 25.40% de participación y el rango entre 18 a 28 años obtuvo un 20.32% de participación. Por otro lado, las personas mayores de 66 años contribuyeron con un 9.01%, mientras que el grupo de 10 a 28 años tuvo una participación mínima, apenas un 0.04%.</w:t>
      </w:r>
    </w:p>
    <w:p w:rsidR="00D35DC7" w:rsidRDefault="00982954">
      <w:pPr>
        <w:pBdr>
          <w:top w:val="none" w:sz="0" w:space="0" w:color="E3E3E3"/>
          <w:left w:val="none" w:sz="0" w:space="0" w:color="E3E3E3"/>
          <w:bottom w:val="none" w:sz="0" w:space="0" w:color="E3E3E3"/>
          <w:right w:val="none" w:sz="0" w:space="0" w:color="E3E3E3"/>
          <w:between w:val="none" w:sz="0" w:space="0" w:color="E3E3E3"/>
        </w:pBdr>
        <w:shd w:val="clear" w:color="auto" w:fill="FFFFFF"/>
        <w:spacing w:before="300" w:after="300" w:line="276" w:lineRule="auto"/>
        <w:jc w:val="center"/>
        <w:rPr>
          <w:rFonts w:ascii="Arial" w:eastAsia="Arial" w:hAnsi="Arial" w:cs="Arial"/>
        </w:rPr>
      </w:pPr>
      <w:r>
        <w:rPr>
          <w:rFonts w:ascii="Arial" w:eastAsia="Arial" w:hAnsi="Arial" w:cs="Arial"/>
          <w:noProof/>
          <w:lang w:val="es-ES" w:eastAsia="es-ES"/>
        </w:rPr>
        <w:drawing>
          <wp:inline distT="114300" distB="114300" distL="114300" distR="114300">
            <wp:extent cx="5348288" cy="3291254"/>
            <wp:effectExtent l="0" t="0" r="0" b="0"/>
            <wp:docPr id="18" name="image7.png" descr="Gráfico"/>
            <wp:cNvGraphicFramePr/>
            <a:graphic xmlns:a="http://schemas.openxmlformats.org/drawingml/2006/main">
              <a:graphicData uri="http://schemas.openxmlformats.org/drawingml/2006/picture">
                <pic:pic xmlns:pic="http://schemas.openxmlformats.org/drawingml/2006/picture">
                  <pic:nvPicPr>
                    <pic:cNvPr id="0" name="image7.png" descr="Gráfico"/>
                    <pic:cNvPicPr preferRelativeResize="0"/>
                  </pic:nvPicPr>
                  <pic:blipFill>
                    <a:blip r:embed="rId12"/>
                    <a:srcRect/>
                    <a:stretch>
                      <a:fillRect/>
                    </a:stretch>
                  </pic:blipFill>
                  <pic:spPr>
                    <a:xfrm>
                      <a:off x="0" y="0"/>
                      <a:ext cx="5348288" cy="3291254"/>
                    </a:xfrm>
                    <a:prstGeom prst="rect">
                      <a:avLst/>
                    </a:prstGeom>
                    <a:ln/>
                  </pic:spPr>
                </pic:pic>
              </a:graphicData>
            </a:graphic>
          </wp:inline>
        </w:drawing>
      </w:r>
    </w:p>
    <w:p w:rsidR="00D35DC7" w:rsidRDefault="00982954">
      <w:pPr>
        <w:pBdr>
          <w:top w:val="none" w:sz="0" w:space="0" w:color="E3E3E3"/>
          <w:left w:val="none" w:sz="0" w:space="0" w:color="E3E3E3"/>
          <w:bottom w:val="none" w:sz="0" w:space="0" w:color="E3E3E3"/>
          <w:right w:val="none" w:sz="0" w:space="0" w:color="E3E3E3"/>
          <w:between w:val="none" w:sz="0" w:space="0" w:color="E3E3E3"/>
        </w:pBdr>
        <w:shd w:val="clear" w:color="auto" w:fill="FFFFFF"/>
        <w:spacing w:before="300" w:after="300" w:line="276" w:lineRule="auto"/>
        <w:jc w:val="center"/>
        <w:rPr>
          <w:rFonts w:ascii="Arial" w:eastAsia="Arial" w:hAnsi="Arial" w:cs="Arial"/>
        </w:rPr>
      </w:pPr>
      <w:r>
        <w:rPr>
          <w:rFonts w:ascii="Arial" w:eastAsia="Arial" w:hAnsi="Arial" w:cs="Arial"/>
          <w:sz w:val="18"/>
          <w:szCs w:val="18"/>
        </w:rPr>
        <w:t xml:space="preserve">Fuente: Datos de Chatico </w:t>
      </w:r>
    </w:p>
    <w:p w:rsidR="00D35DC7" w:rsidRDefault="00982954">
      <w:pPr>
        <w:pBdr>
          <w:top w:val="none" w:sz="0" w:space="0" w:color="E3E3E3"/>
          <w:left w:val="none" w:sz="0" w:space="0" w:color="E3E3E3"/>
          <w:bottom w:val="none" w:sz="0" w:space="0" w:color="E3E3E3"/>
          <w:right w:val="none" w:sz="0" w:space="0" w:color="E3E3E3"/>
          <w:between w:val="none" w:sz="0" w:space="0" w:color="E3E3E3"/>
        </w:pBdr>
        <w:shd w:val="clear" w:color="auto" w:fill="FFFFFF"/>
        <w:spacing w:before="300" w:after="300" w:line="360" w:lineRule="auto"/>
        <w:jc w:val="both"/>
        <w:rPr>
          <w:rFonts w:ascii="Arial" w:eastAsia="Arial" w:hAnsi="Arial" w:cs="Arial"/>
        </w:rPr>
      </w:pPr>
      <w:r>
        <w:rPr>
          <w:rFonts w:ascii="Arial" w:eastAsia="Arial" w:hAnsi="Arial" w:cs="Arial"/>
        </w:rPr>
        <w:t>En relación a los objetivos del plan de desarrollo, el objetivo más mencionado fue "Tener Oportunidades", con una participación del 26.24%, seguido de cerca por "Vivir en Bienestar", con un 23.95%, y "Caminar Seguro", con un 22.12%.</w:t>
      </w:r>
    </w:p>
    <w:p w:rsidR="00D35DC7" w:rsidRDefault="00982954">
      <w:pPr>
        <w:pBdr>
          <w:top w:val="none" w:sz="0" w:space="0" w:color="E3E3E3"/>
          <w:left w:val="none" w:sz="0" w:space="0" w:color="E3E3E3"/>
          <w:bottom w:val="none" w:sz="0" w:space="0" w:color="E3E3E3"/>
          <w:right w:val="none" w:sz="0" w:space="0" w:color="E3E3E3"/>
          <w:between w:val="none" w:sz="0" w:space="0" w:color="E3E3E3"/>
        </w:pBdr>
        <w:shd w:val="clear" w:color="auto" w:fill="FFFFFF"/>
        <w:spacing w:before="300" w:after="300" w:line="276" w:lineRule="auto"/>
        <w:jc w:val="center"/>
        <w:rPr>
          <w:rFonts w:ascii="Arial" w:eastAsia="Arial" w:hAnsi="Arial" w:cs="Arial"/>
        </w:rPr>
      </w:pPr>
      <w:r>
        <w:rPr>
          <w:rFonts w:ascii="Arial" w:eastAsia="Arial" w:hAnsi="Arial" w:cs="Arial"/>
          <w:noProof/>
          <w:lang w:val="es-ES" w:eastAsia="es-ES"/>
        </w:rPr>
        <w:drawing>
          <wp:inline distT="114300" distB="114300" distL="114300" distR="114300">
            <wp:extent cx="5538788" cy="2402025"/>
            <wp:effectExtent l="0" t="0" r="0" b="0"/>
            <wp:docPr id="21" name="image9.png" descr="Gráfico"/>
            <wp:cNvGraphicFramePr/>
            <a:graphic xmlns:a="http://schemas.openxmlformats.org/drawingml/2006/main">
              <a:graphicData uri="http://schemas.openxmlformats.org/drawingml/2006/picture">
                <pic:pic xmlns:pic="http://schemas.openxmlformats.org/drawingml/2006/picture">
                  <pic:nvPicPr>
                    <pic:cNvPr id="0" name="image9.png" descr="Gráfico"/>
                    <pic:cNvPicPr preferRelativeResize="0"/>
                  </pic:nvPicPr>
                  <pic:blipFill>
                    <a:blip r:embed="rId13"/>
                    <a:srcRect/>
                    <a:stretch>
                      <a:fillRect/>
                    </a:stretch>
                  </pic:blipFill>
                  <pic:spPr>
                    <a:xfrm>
                      <a:off x="0" y="0"/>
                      <a:ext cx="5538788" cy="2402025"/>
                    </a:xfrm>
                    <a:prstGeom prst="rect">
                      <a:avLst/>
                    </a:prstGeom>
                    <a:ln/>
                  </pic:spPr>
                </pic:pic>
              </a:graphicData>
            </a:graphic>
          </wp:inline>
        </w:drawing>
      </w:r>
    </w:p>
    <w:p w:rsidR="00D35DC7" w:rsidRDefault="00982954">
      <w:pPr>
        <w:pBdr>
          <w:top w:val="none" w:sz="0" w:space="0" w:color="E3E3E3"/>
          <w:left w:val="none" w:sz="0" w:space="0" w:color="E3E3E3"/>
          <w:bottom w:val="none" w:sz="0" w:space="0" w:color="E3E3E3"/>
          <w:right w:val="none" w:sz="0" w:space="0" w:color="E3E3E3"/>
          <w:between w:val="none" w:sz="0" w:space="0" w:color="E3E3E3"/>
        </w:pBdr>
        <w:shd w:val="clear" w:color="auto" w:fill="FFFFFF"/>
        <w:spacing w:before="300" w:after="300" w:line="360" w:lineRule="auto"/>
        <w:jc w:val="center"/>
        <w:rPr>
          <w:rFonts w:ascii="Arial" w:eastAsia="Arial" w:hAnsi="Arial" w:cs="Arial"/>
          <w:sz w:val="18"/>
          <w:szCs w:val="18"/>
        </w:rPr>
      </w:pPr>
      <w:r>
        <w:rPr>
          <w:rFonts w:ascii="Arial" w:eastAsia="Arial" w:hAnsi="Arial" w:cs="Arial"/>
          <w:sz w:val="18"/>
          <w:szCs w:val="18"/>
        </w:rPr>
        <w:t xml:space="preserve">Fuente: Datos de Chatico </w:t>
      </w:r>
    </w:p>
    <w:p w:rsidR="00D35DC7" w:rsidRDefault="00982954">
      <w:pPr>
        <w:pBdr>
          <w:top w:val="none" w:sz="0" w:space="0" w:color="E3E3E3"/>
          <w:left w:val="none" w:sz="0" w:space="0" w:color="E3E3E3"/>
          <w:bottom w:val="none" w:sz="0" w:space="0" w:color="E3E3E3"/>
          <w:right w:val="none" w:sz="0" w:space="0" w:color="E3E3E3"/>
          <w:between w:val="none" w:sz="0" w:space="0" w:color="E3E3E3"/>
        </w:pBdr>
        <w:shd w:val="clear" w:color="auto" w:fill="FFFFFF"/>
        <w:spacing w:before="300" w:after="300" w:line="360" w:lineRule="auto"/>
        <w:jc w:val="both"/>
        <w:rPr>
          <w:rFonts w:ascii="Arial" w:eastAsia="Arial" w:hAnsi="Arial" w:cs="Arial"/>
        </w:rPr>
      </w:pPr>
      <w:r>
        <w:rPr>
          <w:rFonts w:ascii="Arial" w:eastAsia="Arial" w:hAnsi="Arial" w:cs="Arial"/>
        </w:rPr>
        <w:t>En cuanto a los temas prioritarios para los ciudadanos, se destacan cuatro principales. "Combatir el crimen" encabeza la lista con un 6.34% de menciones, seguido de "Más empleo" con un 5.76%. "Espacios Seguros" y "Empresas que Crecen" también fueron temas relevantes, con un 4.70% y 4.56% respectivamente.</w:t>
      </w:r>
    </w:p>
    <w:p w:rsidR="00D35DC7" w:rsidRDefault="00982954">
      <w:pPr>
        <w:pBdr>
          <w:top w:val="none" w:sz="0" w:space="0" w:color="E3E3E3"/>
          <w:left w:val="none" w:sz="0" w:space="0" w:color="E3E3E3"/>
          <w:bottom w:val="none" w:sz="0" w:space="0" w:color="E3E3E3"/>
          <w:right w:val="none" w:sz="0" w:space="0" w:color="E3E3E3"/>
          <w:between w:val="none" w:sz="0" w:space="0" w:color="E3E3E3"/>
        </w:pBdr>
        <w:shd w:val="clear" w:color="auto" w:fill="FFFFFF"/>
        <w:spacing w:before="300" w:after="300" w:line="276" w:lineRule="auto"/>
        <w:jc w:val="center"/>
        <w:rPr>
          <w:rFonts w:ascii="Arial" w:eastAsia="Arial" w:hAnsi="Arial" w:cs="Arial"/>
        </w:rPr>
      </w:pPr>
      <w:r>
        <w:rPr>
          <w:rFonts w:ascii="Arial" w:eastAsia="Arial" w:hAnsi="Arial" w:cs="Arial"/>
          <w:noProof/>
          <w:lang w:val="es-ES" w:eastAsia="es-ES"/>
        </w:rPr>
        <w:drawing>
          <wp:inline distT="114300" distB="114300" distL="114300" distR="114300">
            <wp:extent cx="5612130" cy="4826000"/>
            <wp:effectExtent l="0" t="0" r="0" b="0"/>
            <wp:docPr id="11" name="image20.png" descr="Gráfico"/>
            <wp:cNvGraphicFramePr/>
            <a:graphic xmlns:a="http://schemas.openxmlformats.org/drawingml/2006/main">
              <a:graphicData uri="http://schemas.openxmlformats.org/drawingml/2006/picture">
                <pic:pic xmlns:pic="http://schemas.openxmlformats.org/drawingml/2006/picture">
                  <pic:nvPicPr>
                    <pic:cNvPr id="0" name="image20.png" descr="Gráfico"/>
                    <pic:cNvPicPr preferRelativeResize="0"/>
                  </pic:nvPicPr>
                  <pic:blipFill>
                    <a:blip r:embed="rId14"/>
                    <a:srcRect/>
                    <a:stretch>
                      <a:fillRect/>
                    </a:stretch>
                  </pic:blipFill>
                  <pic:spPr>
                    <a:xfrm>
                      <a:off x="0" y="0"/>
                      <a:ext cx="5612130" cy="4826000"/>
                    </a:xfrm>
                    <a:prstGeom prst="rect">
                      <a:avLst/>
                    </a:prstGeom>
                    <a:ln/>
                  </pic:spPr>
                </pic:pic>
              </a:graphicData>
            </a:graphic>
          </wp:inline>
        </w:drawing>
      </w:r>
    </w:p>
    <w:p w:rsidR="00D35DC7" w:rsidRDefault="00982954">
      <w:pPr>
        <w:pBdr>
          <w:top w:val="none" w:sz="0" w:space="0" w:color="E3E3E3"/>
          <w:left w:val="none" w:sz="0" w:space="0" w:color="E3E3E3"/>
          <w:bottom w:val="none" w:sz="0" w:space="0" w:color="E3E3E3"/>
          <w:right w:val="none" w:sz="0" w:space="0" w:color="E3E3E3"/>
          <w:between w:val="none" w:sz="0" w:space="0" w:color="E3E3E3"/>
        </w:pBdr>
        <w:shd w:val="clear" w:color="auto" w:fill="FFFFFF"/>
        <w:spacing w:before="300" w:after="300" w:line="276" w:lineRule="auto"/>
        <w:jc w:val="center"/>
        <w:rPr>
          <w:rFonts w:ascii="Arial" w:eastAsia="Arial" w:hAnsi="Arial" w:cs="Arial"/>
          <w:sz w:val="18"/>
          <w:szCs w:val="18"/>
        </w:rPr>
      </w:pPr>
      <w:r>
        <w:rPr>
          <w:rFonts w:ascii="Arial" w:eastAsia="Arial" w:hAnsi="Arial" w:cs="Arial"/>
          <w:sz w:val="18"/>
          <w:szCs w:val="18"/>
        </w:rPr>
        <w:t xml:space="preserve">Fuente: Datos de Chatico </w:t>
      </w:r>
    </w:p>
    <w:p w:rsidR="00D35DC7" w:rsidRDefault="00982954">
      <w:pPr>
        <w:pBdr>
          <w:top w:val="none" w:sz="0" w:space="0" w:color="E3E3E3"/>
          <w:left w:val="none" w:sz="0" w:space="0" w:color="E3E3E3"/>
          <w:bottom w:val="none" w:sz="0" w:space="0" w:color="E3E3E3"/>
          <w:right w:val="none" w:sz="0" w:space="0" w:color="E3E3E3"/>
          <w:between w:val="none" w:sz="0" w:space="0" w:color="E3E3E3"/>
        </w:pBdr>
        <w:shd w:val="clear" w:color="auto" w:fill="FFFFFF"/>
        <w:spacing w:before="300" w:line="360" w:lineRule="auto"/>
        <w:jc w:val="both"/>
        <w:rPr>
          <w:rFonts w:ascii="Arial" w:eastAsia="Arial" w:hAnsi="Arial" w:cs="Arial"/>
        </w:rPr>
      </w:pPr>
      <w:r>
        <w:rPr>
          <w:rFonts w:ascii="Arial" w:eastAsia="Arial" w:hAnsi="Arial" w:cs="Arial"/>
        </w:rPr>
        <w:t>Estos resultados reflejan una clara preocupación por la seguridad, la reducción del crimen y la generación de oportunidades de empleo entre los ciudadanos. Se destaca, que temas como superar la pobreza y el bienestar animal fueron también posicionados por los ciudadanos.</w:t>
      </w:r>
    </w:p>
    <w:p w:rsidR="00D35DC7" w:rsidRDefault="00982954">
      <w:pPr>
        <w:pBdr>
          <w:top w:val="none" w:sz="0" w:space="0" w:color="E3E3E3"/>
          <w:left w:val="none" w:sz="0" w:space="0" w:color="E3E3E3"/>
          <w:bottom w:val="none" w:sz="0" w:space="0" w:color="E3E3E3"/>
          <w:right w:val="none" w:sz="0" w:space="0" w:color="E3E3E3"/>
          <w:between w:val="none" w:sz="0" w:space="0" w:color="E3E3E3"/>
        </w:pBdr>
        <w:shd w:val="clear" w:color="auto" w:fill="FFFFFF"/>
        <w:spacing w:before="300" w:line="360" w:lineRule="auto"/>
        <w:jc w:val="both"/>
        <w:rPr>
          <w:rFonts w:ascii="Arial" w:eastAsia="Arial" w:hAnsi="Arial" w:cs="Arial"/>
        </w:rPr>
      </w:pPr>
      <w:r>
        <w:rPr>
          <w:rFonts w:ascii="Arial" w:eastAsia="Arial" w:hAnsi="Arial" w:cs="Arial"/>
        </w:rPr>
        <w:t xml:space="preserve">Ahora bien, dentro del informe presentado por la administración se destacan las soluciones priorizadas por objetivo estratégico, donde se identifican soluciones como: Desmantelar estructuras, urbanismo sostenible, promover transparencia, financiamiento y cuidado de todas las formas de vida, por cada uno de los cinco objetivos respectivamente. </w:t>
      </w:r>
    </w:p>
    <w:p w:rsidR="00D35DC7" w:rsidRDefault="00982954">
      <w:pPr>
        <w:pBdr>
          <w:top w:val="none" w:sz="0" w:space="0" w:color="E3E3E3"/>
          <w:left w:val="none" w:sz="0" w:space="0" w:color="E3E3E3"/>
          <w:bottom w:val="none" w:sz="0" w:space="0" w:color="E3E3E3"/>
          <w:right w:val="none" w:sz="0" w:space="0" w:color="E3E3E3"/>
          <w:between w:val="none" w:sz="0" w:space="0" w:color="E3E3E3"/>
        </w:pBdr>
        <w:shd w:val="clear" w:color="auto" w:fill="FFFFFF"/>
        <w:spacing w:before="300" w:line="276" w:lineRule="auto"/>
        <w:jc w:val="center"/>
        <w:rPr>
          <w:rFonts w:ascii="Arial" w:eastAsia="Arial" w:hAnsi="Arial" w:cs="Arial"/>
        </w:rPr>
      </w:pPr>
      <w:r>
        <w:rPr>
          <w:rFonts w:ascii="Arial" w:eastAsia="Arial" w:hAnsi="Arial" w:cs="Arial"/>
          <w:noProof/>
          <w:lang w:val="es-ES" w:eastAsia="es-ES"/>
        </w:rPr>
        <w:drawing>
          <wp:inline distT="114300" distB="114300" distL="114300" distR="114300">
            <wp:extent cx="5612130" cy="4978400"/>
            <wp:effectExtent l="0" t="0" r="0" b="0"/>
            <wp:docPr id="26"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15"/>
                    <a:srcRect/>
                    <a:stretch>
                      <a:fillRect/>
                    </a:stretch>
                  </pic:blipFill>
                  <pic:spPr>
                    <a:xfrm>
                      <a:off x="0" y="0"/>
                      <a:ext cx="5612130" cy="4978400"/>
                    </a:xfrm>
                    <a:prstGeom prst="rect">
                      <a:avLst/>
                    </a:prstGeom>
                    <a:ln/>
                  </pic:spPr>
                </pic:pic>
              </a:graphicData>
            </a:graphic>
          </wp:inline>
        </w:drawing>
      </w:r>
    </w:p>
    <w:p w:rsidR="00D35DC7" w:rsidRDefault="00D35DC7">
      <w:pPr>
        <w:pBdr>
          <w:top w:val="none" w:sz="0" w:space="0" w:color="E3E3E3"/>
          <w:left w:val="none" w:sz="0" w:space="0" w:color="E3E3E3"/>
          <w:bottom w:val="none" w:sz="0" w:space="0" w:color="E3E3E3"/>
          <w:right w:val="none" w:sz="0" w:space="0" w:color="E3E3E3"/>
          <w:between w:val="none" w:sz="0" w:space="0" w:color="E3E3E3"/>
        </w:pBdr>
        <w:shd w:val="clear" w:color="auto" w:fill="FFFFFF"/>
        <w:spacing w:before="300" w:line="276" w:lineRule="auto"/>
        <w:jc w:val="center"/>
        <w:rPr>
          <w:rFonts w:ascii="Arial" w:eastAsia="Arial" w:hAnsi="Arial" w:cs="Arial"/>
        </w:rPr>
      </w:pPr>
    </w:p>
    <w:p w:rsidR="00D35DC7" w:rsidRDefault="00982954">
      <w:pPr>
        <w:shd w:val="clear" w:color="auto" w:fill="FFFFFF"/>
        <w:spacing w:before="150" w:line="360" w:lineRule="auto"/>
        <w:jc w:val="both"/>
        <w:rPr>
          <w:rFonts w:ascii="Arial" w:eastAsia="Arial" w:hAnsi="Arial" w:cs="Arial"/>
        </w:rPr>
      </w:pPr>
      <w:r>
        <w:rPr>
          <w:rFonts w:ascii="Arial" w:eastAsia="Arial" w:hAnsi="Arial" w:cs="Arial"/>
        </w:rPr>
        <w:t>De igual manera dentro del informe de participación ciudadana se presentan las soluciones por grupo etario, dicho análisis permite ver el orden de prioridad para cada grupo en los diferentes temas que deben ser abordados por el plan de desarrollo.</w:t>
      </w:r>
    </w:p>
    <w:p w:rsidR="00D35DC7" w:rsidRDefault="00982954">
      <w:pPr>
        <w:shd w:val="clear" w:color="auto" w:fill="FFFFFF"/>
        <w:spacing w:before="150"/>
        <w:jc w:val="center"/>
        <w:rPr>
          <w:rFonts w:ascii="Arial" w:eastAsia="Arial" w:hAnsi="Arial" w:cs="Arial"/>
        </w:rPr>
      </w:pPr>
      <w:r>
        <w:rPr>
          <w:rFonts w:ascii="Arial" w:eastAsia="Arial" w:hAnsi="Arial" w:cs="Arial"/>
          <w:noProof/>
          <w:lang w:val="es-ES" w:eastAsia="es-ES"/>
        </w:rPr>
        <w:drawing>
          <wp:inline distT="114300" distB="114300" distL="114300" distR="114300">
            <wp:extent cx="5261610" cy="2657475"/>
            <wp:effectExtent l="0" t="0" r="0" b="0"/>
            <wp:docPr id="27"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6"/>
                    <a:srcRect l="1968" r="4312"/>
                    <a:stretch>
                      <a:fillRect/>
                    </a:stretch>
                  </pic:blipFill>
                  <pic:spPr>
                    <a:xfrm>
                      <a:off x="0" y="0"/>
                      <a:ext cx="5261610" cy="2657475"/>
                    </a:xfrm>
                    <a:prstGeom prst="rect">
                      <a:avLst/>
                    </a:prstGeom>
                    <a:ln/>
                  </pic:spPr>
                </pic:pic>
              </a:graphicData>
            </a:graphic>
          </wp:inline>
        </w:drawing>
      </w:r>
    </w:p>
    <w:p w:rsidR="00D35DC7" w:rsidRDefault="00982954">
      <w:pPr>
        <w:shd w:val="clear" w:color="auto" w:fill="FFFFFF"/>
        <w:spacing w:before="150" w:line="360" w:lineRule="auto"/>
        <w:jc w:val="both"/>
        <w:rPr>
          <w:rFonts w:ascii="Arial" w:eastAsia="Arial" w:hAnsi="Arial" w:cs="Arial"/>
        </w:rPr>
      </w:pPr>
      <w:r>
        <w:rPr>
          <w:rFonts w:ascii="Arial" w:eastAsia="Arial" w:hAnsi="Arial" w:cs="Arial"/>
        </w:rPr>
        <w:t>Se destaca la importancia de que existan soluciones en torno a las agencias de empleo y acceso a la universidad. El objetivo 3 “Tener oportunidades” fue el más mencionado por este grupo de jóvenes.</w:t>
      </w:r>
    </w:p>
    <w:p w:rsidR="00D35DC7" w:rsidRDefault="00982954">
      <w:pPr>
        <w:shd w:val="clear" w:color="auto" w:fill="FFFFFF"/>
        <w:spacing w:before="150"/>
        <w:jc w:val="both"/>
        <w:rPr>
          <w:rFonts w:ascii="Arial" w:eastAsia="Arial" w:hAnsi="Arial" w:cs="Arial"/>
        </w:rPr>
      </w:pPr>
      <w:r>
        <w:rPr>
          <w:rFonts w:ascii="Arial" w:eastAsia="Arial" w:hAnsi="Arial" w:cs="Arial"/>
          <w:noProof/>
          <w:lang w:val="es-ES" w:eastAsia="es-ES"/>
        </w:rPr>
        <w:drawing>
          <wp:inline distT="114300" distB="114300" distL="114300" distR="114300">
            <wp:extent cx="5612130" cy="2616200"/>
            <wp:effectExtent l="0" t="0" r="0" b="0"/>
            <wp:docPr id="16"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7"/>
                    <a:srcRect/>
                    <a:stretch>
                      <a:fillRect/>
                    </a:stretch>
                  </pic:blipFill>
                  <pic:spPr>
                    <a:xfrm>
                      <a:off x="0" y="0"/>
                      <a:ext cx="5612130" cy="2616200"/>
                    </a:xfrm>
                    <a:prstGeom prst="rect">
                      <a:avLst/>
                    </a:prstGeom>
                    <a:ln/>
                  </pic:spPr>
                </pic:pic>
              </a:graphicData>
            </a:graphic>
          </wp:inline>
        </w:drawing>
      </w:r>
    </w:p>
    <w:p w:rsidR="00D35DC7" w:rsidRDefault="00982954">
      <w:pPr>
        <w:shd w:val="clear" w:color="auto" w:fill="FFFFFF"/>
        <w:spacing w:before="150" w:line="360" w:lineRule="auto"/>
        <w:jc w:val="both"/>
        <w:rPr>
          <w:rFonts w:ascii="Arial" w:eastAsia="Arial" w:hAnsi="Arial" w:cs="Arial"/>
        </w:rPr>
      </w:pPr>
      <w:r>
        <w:rPr>
          <w:rFonts w:ascii="Arial" w:eastAsia="Arial" w:hAnsi="Arial" w:cs="Arial"/>
        </w:rPr>
        <w:t xml:space="preserve">En cuanto al grupo de 29-50 años la prioridad se centró en el objetivo 1 “Tener seguridad”, ya que las soluciones más destacadas (Desmantelar estructuras y mejorar reacción) son parte de este objetivo. Así mismo se destaca la solución de “cuidado”, parte de la percepción de mejorar el bienestar. </w:t>
      </w:r>
    </w:p>
    <w:p w:rsidR="00D35DC7" w:rsidRDefault="00D35DC7">
      <w:pPr>
        <w:shd w:val="clear" w:color="auto" w:fill="FFFFFF"/>
        <w:spacing w:before="150" w:line="360" w:lineRule="auto"/>
        <w:jc w:val="both"/>
        <w:rPr>
          <w:rFonts w:ascii="Arial" w:eastAsia="Arial" w:hAnsi="Arial" w:cs="Arial"/>
        </w:rPr>
      </w:pPr>
    </w:p>
    <w:p w:rsidR="00D35DC7" w:rsidRDefault="00982954">
      <w:pPr>
        <w:shd w:val="clear" w:color="auto" w:fill="FFFFFF"/>
        <w:spacing w:before="150"/>
        <w:jc w:val="center"/>
        <w:rPr>
          <w:rFonts w:ascii="Arial" w:eastAsia="Arial" w:hAnsi="Arial" w:cs="Arial"/>
        </w:rPr>
      </w:pPr>
      <w:r>
        <w:rPr>
          <w:rFonts w:ascii="Arial" w:eastAsia="Arial" w:hAnsi="Arial" w:cs="Arial"/>
          <w:noProof/>
          <w:lang w:val="es-ES" w:eastAsia="es-ES"/>
        </w:rPr>
        <w:drawing>
          <wp:inline distT="114300" distB="114300" distL="114300" distR="114300">
            <wp:extent cx="4880610" cy="2628900"/>
            <wp:effectExtent l="0" t="0" r="0" b="0"/>
            <wp:docPr id="23"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8"/>
                    <a:srcRect l="5191" r="7877"/>
                    <a:stretch>
                      <a:fillRect/>
                    </a:stretch>
                  </pic:blipFill>
                  <pic:spPr>
                    <a:xfrm>
                      <a:off x="0" y="0"/>
                      <a:ext cx="4880610" cy="2628900"/>
                    </a:xfrm>
                    <a:prstGeom prst="rect">
                      <a:avLst/>
                    </a:prstGeom>
                    <a:ln/>
                  </pic:spPr>
                </pic:pic>
              </a:graphicData>
            </a:graphic>
          </wp:inline>
        </w:drawing>
      </w:r>
    </w:p>
    <w:p w:rsidR="00D35DC7" w:rsidRDefault="00982954">
      <w:pPr>
        <w:shd w:val="clear" w:color="auto" w:fill="FFFFFF"/>
        <w:spacing w:before="150" w:line="360" w:lineRule="auto"/>
        <w:jc w:val="both"/>
        <w:rPr>
          <w:rFonts w:ascii="Arial" w:eastAsia="Arial" w:hAnsi="Arial" w:cs="Arial"/>
        </w:rPr>
      </w:pPr>
      <w:r>
        <w:rPr>
          <w:rFonts w:ascii="Arial" w:eastAsia="Arial" w:hAnsi="Arial" w:cs="Arial"/>
        </w:rPr>
        <w:t xml:space="preserve">Dentro del grupo etario 51-65 años el objetivo principal fue el número dos “Vivir en Bienestar”. Se destacan las soluciones de cuidado y servicios de salud. Además dentro de este grupo también la solución “desmantelar estructuras” dentro del objetivo de seguridad también es un tema imperativo que debe abordarse en el plan. </w:t>
      </w:r>
    </w:p>
    <w:p w:rsidR="00D35DC7" w:rsidRDefault="00982954">
      <w:pPr>
        <w:shd w:val="clear" w:color="auto" w:fill="FFFFFF"/>
        <w:spacing w:before="150"/>
        <w:jc w:val="both"/>
        <w:rPr>
          <w:rFonts w:ascii="Arial" w:eastAsia="Arial" w:hAnsi="Arial" w:cs="Arial"/>
        </w:rPr>
      </w:pPr>
      <w:r>
        <w:rPr>
          <w:rFonts w:ascii="Arial" w:eastAsia="Arial" w:hAnsi="Arial" w:cs="Arial"/>
          <w:noProof/>
          <w:lang w:val="es-ES" w:eastAsia="es-ES"/>
        </w:rPr>
        <w:drawing>
          <wp:inline distT="114300" distB="114300" distL="114300" distR="114300">
            <wp:extent cx="5612130" cy="2768600"/>
            <wp:effectExtent l="0" t="0" r="0" b="0"/>
            <wp:docPr id="13"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9"/>
                    <a:srcRect/>
                    <a:stretch>
                      <a:fillRect/>
                    </a:stretch>
                  </pic:blipFill>
                  <pic:spPr>
                    <a:xfrm>
                      <a:off x="0" y="0"/>
                      <a:ext cx="5612130" cy="2768600"/>
                    </a:xfrm>
                    <a:prstGeom prst="rect">
                      <a:avLst/>
                    </a:prstGeom>
                    <a:ln/>
                  </pic:spPr>
                </pic:pic>
              </a:graphicData>
            </a:graphic>
          </wp:inline>
        </w:drawing>
      </w:r>
    </w:p>
    <w:p w:rsidR="00D35DC7" w:rsidRDefault="00982954">
      <w:pPr>
        <w:shd w:val="clear" w:color="auto" w:fill="FFFFFF"/>
        <w:spacing w:before="150" w:line="360" w:lineRule="auto"/>
        <w:jc w:val="both"/>
        <w:rPr>
          <w:rFonts w:ascii="Arial" w:eastAsia="Arial" w:hAnsi="Arial" w:cs="Arial"/>
        </w:rPr>
      </w:pPr>
      <w:r>
        <w:rPr>
          <w:rFonts w:ascii="Arial" w:eastAsia="Arial" w:hAnsi="Arial" w:cs="Arial"/>
        </w:rPr>
        <w:t xml:space="preserve">Los datos de los ciudadanos mayores de 66 años que participaron en Chatico muestran que la percepción del grupo etario está orientada a soluciones de cuidado y servicios de salud (temas del objetivo estratégico 2 “Vivir en Bienestar”) </w:t>
      </w:r>
    </w:p>
    <w:p w:rsidR="00D35DC7" w:rsidRDefault="00982954">
      <w:pPr>
        <w:shd w:val="clear" w:color="auto" w:fill="FFFFFF"/>
        <w:spacing w:before="150" w:line="360" w:lineRule="auto"/>
        <w:jc w:val="both"/>
        <w:rPr>
          <w:rFonts w:ascii="Arial" w:eastAsia="Arial" w:hAnsi="Arial" w:cs="Arial"/>
        </w:rPr>
      </w:pPr>
      <w:r>
        <w:rPr>
          <w:rFonts w:ascii="Arial" w:eastAsia="Arial" w:hAnsi="Arial" w:cs="Arial"/>
        </w:rPr>
        <w:t xml:space="preserve">En una vista muy general de las gráficas se puede evidenciar una tendencia marcada por grupo etario en cuanto a los objetivos, temas y soluciones. En el caso del grupo entre los 18 y 28 años las soluciones pedidas se centran en educación y empleabilidad. En el grupo entre los 29 y los 50 años las percepciones están dirigidas en su mayoría a temas de seguridad en la ciudad y por último, en el caso de los ciudadanos mayores a 51 años, el objetivo más destacado fue el segundo “Vivir en Bienestar”. </w:t>
      </w:r>
    </w:p>
    <w:p w:rsidR="00D35DC7" w:rsidRDefault="00982954">
      <w:pPr>
        <w:shd w:val="clear" w:color="auto" w:fill="FFFFFF"/>
        <w:spacing w:before="150" w:line="360" w:lineRule="auto"/>
        <w:jc w:val="both"/>
        <w:rPr>
          <w:rFonts w:ascii="Arial" w:eastAsia="Arial" w:hAnsi="Arial" w:cs="Arial"/>
        </w:rPr>
      </w:pPr>
      <w:r>
        <w:rPr>
          <w:rFonts w:ascii="Arial" w:eastAsia="Arial" w:hAnsi="Arial" w:cs="Arial"/>
        </w:rPr>
        <w:t>Dentro del informe también se destaca un instrumento específico para el análisis de la ruralidad y sus percepciones para el plan de desarrollo en la primera fase. En dicho ejercicio estuvo presente la Secretaría Distrital de Planeación. Se reunieron  1526 sentires de la ciudadanía que habita localidades donde hay espacios rurales.</w:t>
      </w:r>
    </w:p>
    <w:p w:rsidR="00D35DC7" w:rsidRDefault="00982954">
      <w:pPr>
        <w:shd w:val="clear" w:color="auto" w:fill="FFFFFF"/>
        <w:spacing w:before="150" w:line="360" w:lineRule="auto"/>
        <w:jc w:val="both"/>
        <w:rPr>
          <w:rFonts w:ascii="Arial" w:eastAsia="Arial" w:hAnsi="Arial" w:cs="Arial"/>
        </w:rPr>
      </w:pPr>
      <w:r>
        <w:rPr>
          <w:rFonts w:ascii="Arial" w:eastAsia="Arial" w:hAnsi="Arial" w:cs="Arial"/>
        </w:rPr>
        <w:t xml:space="preserve">Sin embargo en la fase 2 los datos cuantitativos demostraron que dentro de la herramienta chatico hubo 1202 personas que lo diligenciaron (una reducción de 324 participantes). </w:t>
      </w:r>
    </w:p>
    <w:p w:rsidR="00D35DC7" w:rsidRDefault="00982954">
      <w:pPr>
        <w:shd w:val="clear" w:color="auto" w:fill="FFFFFF"/>
        <w:spacing w:before="150" w:line="360" w:lineRule="auto"/>
        <w:jc w:val="both"/>
        <w:rPr>
          <w:rFonts w:ascii="Arial" w:eastAsia="Arial" w:hAnsi="Arial" w:cs="Arial"/>
        </w:rPr>
      </w:pPr>
      <w:r>
        <w:rPr>
          <w:rFonts w:ascii="Arial" w:eastAsia="Arial" w:hAnsi="Arial" w:cs="Arial"/>
        </w:rPr>
        <w:t xml:space="preserve">Sin embargo la administración en su informe donde reunió el instrumento de la fase 1 y la herramienta chatico de la fase 2 destacó los siguiente: </w:t>
      </w:r>
    </w:p>
    <w:p w:rsidR="00D35DC7" w:rsidRDefault="00D35DC7">
      <w:pPr>
        <w:shd w:val="clear" w:color="auto" w:fill="FFFFFF"/>
        <w:spacing w:before="150" w:line="360" w:lineRule="auto"/>
        <w:jc w:val="both"/>
        <w:rPr>
          <w:rFonts w:ascii="Arial" w:eastAsia="Arial" w:hAnsi="Arial" w:cs="Arial"/>
        </w:rPr>
      </w:pPr>
    </w:p>
    <w:p w:rsidR="00D35DC7" w:rsidRDefault="00982954">
      <w:pPr>
        <w:numPr>
          <w:ilvl w:val="0"/>
          <w:numId w:val="4"/>
        </w:numPr>
        <w:shd w:val="clear" w:color="auto" w:fill="FFFFFF"/>
        <w:spacing w:before="150" w:line="360" w:lineRule="auto"/>
        <w:jc w:val="both"/>
        <w:rPr>
          <w:rFonts w:ascii="Arial" w:eastAsia="Arial" w:hAnsi="Arial" w:cs="Arial"/>
        </w:rPr>
      </w:pPr>
      <w:r>
        <w:rPr>
          <w:rFonts w:ascii="Arial" w:eastAsia="Arial" w:hAnsi="Arial" w:cs="Arial"/>
        </w:rPr>
        <w:t>Para la primera fase, dentro del objetivo de Bogotá Camina Segura, lo que más se priorizó fueron las vías y el transporte rural seguro. Sin embargo, en la segunda fase los temas de mayor importancia de este eje fue el acompañamiento a las víctimas.</w:t>
      </w:r>
    </w:p>
    <w:p w:rsidR="00D35DC7" w:rsidRDefault="00982954">
      <w:pPr>
        <w:numPr>
          <w:ilvl w:val="0"/>
          <w:numId w:val="4"/>
        </w:numPr>
        <w:shd w:val="clear" w:color="auto" w:fill="FFFFFF"/>
        <w:spacing w:line="360" w:lineRule="auto"/>
        <w:jc w:val="both"/>
        <w:rPr>
          <w:rFonts w:ascii="Arial" w:eastAsia="Arial" w:hAnsi="Arial" w:cs="Arial"/>
        </w:rPr>
      </w:pPr>
      <w:r>
        <w:rPr>
          <w:rFonts w:ascii="Arial" w:eastAsia="Arial" w:hAnsi="Arial" w:cs="Arial"/>
        </w:rPr>
        <w:t>Del objetivo de bien-estar, la salud pública en la ruralidad fue el aspecto que más se destacó durante el sondeo rural, lo que se mantuvo en la fase de Aspiraciones Comunes; fue también el programa que se votó mayoritariamente entre todos los del PDD. Se destaca que la segunda solución más priorizada de este eje fue el de vivienda para las mujeres.</w:t>
      </w:r>
    </w:p>
    <w:p w:rsidR="00D35DC7" w:rsidRDefault="00982954">
      <w:pPr>
        <w:numPr>
          <w:ilvl w:val="0"/>
          <w:numId w:val="4"/>
        </w:numPr>
        <w:shd w:val="clear" w:color="auto" w:fill="FFFFFF"/>
        <w:spacing w:line="360" w:lineRule="auto"/>
        <w:jc w:val="both"/>
        <w:rPr>
          <w:rFonts w:ascii="Arial" w:eastAsia="Arial" w:hAnsi="Arial" w:cs="Arial"/>
        </w:rPr>
      </w:pPr>
      <w:r>
        <w:rPr>
          <w:rFonts w:ascii="Arial" w:eastAsia="Arial" w:hAnsi="Arial" w:cs="Arial"/>
        </w:rPr>
        <w:t xml:space="preserve">Sobre la construcción de una Bogotá con más oportunidades, se mantuvo en las fases 1 y 2 la necesidad de incentivar la economía campesina mediante el fortalecimiento de las asociaciones productivas de las ruralidades. Como aspecto fundamental, se destaca que el programa más votado de este eje 31 Participación ciudadana durante Aspiraciones Comunes fue el de ingresos para las mujeres. </w:t>
      </w:r>
    </w:p>
    <w:p w:rsidR="00D35DC7" w:rsidRDefault="00982954">
      <w:pPr>
        <w:numPr>
          <w:ilvl w:val="0"/>
          <w:numId w:val="4"/>
        </w:numPr>
        <w:shd w:val="clear" w:color="auto" w:fill="FFFFFF"/>
        <w:spacing w:line="360" w:lineRule="auto"/>
        <w:jc w:val="both"/>
        <w:rPr>
          <w:rFonts w:ascii="Arial" w:eastAsia="Arial" w:hAnsi="Arial" w:cs="Arial"/>
        </w:rPr>
      </w:pPr>
      <w:r>
        <w:rPr>
          <w:rFonts w:ascii="Arial" w:eastAsia="Arial" w:hAnsi="Arial" w:cs="Arial"/>
        </w:rPr>
        <w:t xml:space="preserve">En relación con la idea de una ciudad sostenible, en la Fase 1 el ordenamiento territorial ambiental y la protección de cuerpos hídricos y determinantes ambientales fueron los aportes que más se presentaron. Sin embargo, en la Fase 2 se priorizaron la vivienda rural y el agua para la ruralidad. Se destaca que, dentro de los 30 temas más importantes, el último fue el de protección ecológica. </w:t>
      </w:r>
    </w:p>
    <w:p w:rsidR="00D35DC7" w:rsidRDefault="00982954">
      <w:pPr>
        <w:numPr>
          <w:ilvl w:val="0"/>
          <w:numId w:val="4"/>
        </w:numPr>
        <w:shd w:val="clear" w:color="auto" w:fill="FFFFFF"/>
        <w:spacing w:line="360" w:lineRule="auto"/>
        <w:jc w:val="both"/>
        <w:rPr>
          <w:rFonts w:ascii="Arial" w:eastAsia="Arial" w:hAnsi="Arial" w:cs="Arial"/>
        </w:rPr>
      </w:pPr>
      <w:r>
        <w:rPr>
          <w:rFonts w:ascii="Arial" w:eastAsia="Arial" w:hAnsi="Arial" w:cs="Arial"/>
        </w:rPr>
        <w:t>Dentro de la idea del Gobierno confiable, en los Sentires Ciudadanos se destacó el tema de transparencia, pero en las Aspiraciones Comunes no se mencionó este objetivo en los 30 programas que se priorizaron.</w:t>
      </w:r>
    </w:p>
    <w:p w:rsidR="00D35DC7" w:rsidRDefault="00D35DC7">
      <w:pPr>
        <w:shd w:val="clear" w:color="auto" w:fill="FFFFFF"/>
        <w:spacing w:before="150" w:line="360" w:lineRule="auto"/>
        <w:jc w:val="both"/>
        <w:rPr>
          <w:rFonts w:ascii="Arial" w:eastAsia="Arial" w:hAnsi="Arial" w:cs="Arial"/>
        </w:rPr>
      </w:pPr>
    </w:p>
    <w:p w:rsidR="00D35DC7" w:rsidRDefault="00982954">
      <w:pPr>
        <w:shd w:val="clear" w:color="auto" w:fill="FFFFFF"/>
        <w:spacing w:before="150" w:line="360" w:lineRule="auto"/>
        <w:jc w:val="center"/>
        <w:rPr>
          <w:rFonts w:ascii="Arial" w:eastAsia="Arial" w:hAnsi="Arial" w:cs="Arial"/>
        </w:rPr>
      </w:pPr>
      <w:r>
        <w:rPr>
          <w:rFonts w:ascii="Arial" w:eastAsia="Arial" w:hAnsi="Arial" w:cs="Arial"/>
          <w:noProof/>
          <w:lang w:val="es-ES" w:eastAsia="es-ES"/>
        </w:rPr>
        <w:drawing>
          <wp:inline distT="114300" distB="114300" distL="114300" distR="114300">
            <wp:extent cx="5490210" cy="3276600"/>
            <wp:effectExtent l="0" t="0" r="0" b="0"/>
            <wp:docPr id="20"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20"/>
                    <a:srcRect l="2139"/>
                    <a:stretch>
                      <a:fillRect/>
                    </a:stretch>
                  </pic:blipFill>
                  <pic:spPr>
                    <a:xfrm>
                      <a:off x="0" y="0"/>
                      <a:ext cx="5490210" cy="3276600"/>
                    </a:xfrm>
                    <a:prstGeom prst="rect">
                      <a:avLst/>
                    </a:prstGeom>
                    <a:ln/>
                  </pic:spPr>
                </pic:pic>
              </a:graphicData>
            </a:graphic>
          </wp:inline>
        </w:drawing>
      </w:r>
    </w:p>
    <w:p w:rsidR="00D35DC7" w:rsidRDefault="00982954">
      <w:pPr>
        <w:shd w:val="clear" w:color="auto" w:fill="FFFFFF"/>
        <w:spacing w:before="150" w:line="360" w:lineRule="auto"/>
        <w:jc w:val="both"/>
        <w:rPr>
          <w:rFonts w:ascii="Arial" w:eastAsia="Arial" w:hAnsi="Arial" w:cs="Arial"/>
        </w:rPr>
      </w:pPr>
      <w:r>
        <w:rPr>
          <w:rFonts w:ascii="Arial" w:eastAsia="Arial" w:hAnsi="Arial" w:cs="Arial"/>
        </w:rPr>
        <w:t>Se destaca que el objetivo más trabajado fue el de vivir en bienestar, seguido del de tener oportunidades y, en tercer lugar, el de caminar seguro/a.</w:t>
      </w:r>
    </w:p>
    <w:p w:rsidR="00D35DC7" w:rsidRDefault="00982954">
      <w:pPr>
        <w:shd w:val="clear" w:color="auto" w:fill="FFFFFF"/>
        <w:spacing w:before="150" w:line="360" w:lineRule="auto"/>
        <w:jc w:val="both"/>
        <w:rPr>
          <w:rFonts w:ascii="Arial" w:eastAsia="Arial" w:hAnsi="Arial" w:cs="Arial"/>
        </w:rPr>
      </w:pPr>
      <w:r>
        <w:rPr>
          <w:rFonts w:ascii="Arial" w:eastAsia="Arial" w:hAnsi="Arial" w:cs="Arial"/>
        </w:rPr>
        <w:t>Los principales programas priorizados fueron los de servicios en salud, economía campesina, acompañamiento a las víctimas, ingresos para las mujeres, vivienda rural y vivienda y mujeres.</w:t>
      </w:r>
    </w:p>
    <w:p w:rsidR="00D35DC7" w:rsidRDefault="00982954">
      <w:pPr>
        <w:shd w:val="clear" w:color="auto" w:fill="FFFFFF"/>
        <w:spacing w:before="150" w:line="360" w:lineRule="auto"/>
        <w:jc w:val="both"/>
        <w:rPr>
          <w:rFonts w:ascii="Arial" w:eastAsia="Arial" w:hAnsi="Arial" w:cs="Arial"/>
        </w:rPr>
      </w:pPr>
      <w:r>
        <w:rPr>
          <w:rFonts w:ascii="Arial" w:eastAsia="Arial" w:hAnsi="Arial" w:cs="Arial"/>
        </w:rPr>
        <w:t>“Adicional al ejercicio realizado por medio del aplicativo Chatico, la SDP celebró 10 espacios de participación en las tres unidades de planeamiento local rurales reconocidas por el POT, llegando a Sumapaz, la cuenca del Tunjuelo y los Cerros Orientales. Durante este proceso se contó con la participación de 287 habitantes de las ruralidades, quienes, por medio del diálogo orientado, hicieron 1.023 aportes nuevos para los 5 objetivos del PDD”</w:t>
      </w:r>
    </w:p>
    <w:p w:rsidR="00D35DC7" w:rsidRDefault="00982954">
      <w:pPr>
        <w:shd w:val="clear" w:color="auto" w:fill="FFFFFF"/>
        <w:spacing w:before="150" w:line="360" w:lineRule="auto"/>
        <w:jc w:val="both"/>
        <w:rPr>
          <w:rFonts w:ascii="Arial" w:eastAsia="Arial" w:hAnsi="Arial" w:cs="Arial"/>
        </w:rPr>
      </w:pPr>
      <w:r>
        <w:rPr>
          <w:rFonts w:ascii="Arial" w:eastAsia="Arial" w:hAnsi="Arial" w:cs="Arial"/>
          <w:noProof/>
          <w:lang w:val="es-ES" w:eastAsia="es-ES"/>
        </w:rPr>
        <w:drawing>
          <wp:inline distT="114300" distB="114300" distL="114300" distR="114300">
            <wp:extent cx="5612130" cy="2692400"/>
            <wp:effectExtent l="0" t="0" r="0" b="0"/>
            <wp:docPr id="14" name="image19.png"/>
            <wp:cNvGraphicFramePr/>
            <a:graphic xmlns:a="http://schemas.openxmlformats.org/drawingml/2006/main">
              <a:graphicData uri="http://schemas.openxmlformats.org/drawingml/2006/picture">
                <pic:pic xmlns:pic="http://schemas.openxmlformats.org/drawingml/2006/picture">
                  <pic:nvPicPr>
                    <pic:cNvPr id="0" name="image19.png"/>
                    <pic:cNvPicPr preferRelativeResize="0"/>
                  </pic:nvPicPr>
                  <pic:blipFill>
                    <a:blip r:embed="rId21"/>
                    <a:srcRect/>
                    <a:stretch>
                      <a:fillRect/>
                    </a:stretch>
                  </pic:blipFill>
                  <pic:spPr>
                    <a:xfrm>
                      <a:off x="0" y="0"/>
                      <a:ext cx="5612130" cy="2692400"/>
                    </a:xfrm>
                    <a:prstGeom prst="rect">
                      <a:avLst/>
                    </a:prstGeom>
                    <a:ln/>
                  </pic:spPr>
                </pic:pic>
              </a:graphicData>
            </a:graphic>
          </wp:inline>
        </w:drawing>
      </w:r>
    </w:p>
    <w:p w:rsidR="00D35DC7" w:rsidRDefault="00982954">
      <w:pPr>
        <w:shd w:val="clear" w:color="auto" w:fill="FFFFFF"/>
        <w:spacing w:before="150" w:line="360" w:lineRule="auto"/>
        <w:jc w:val="both"/>
        <w:rPr>
          <w:rFonts w:ascii="Arial" w:eastAsia="Arial" w:hAnsi="Arial" w:cs="Arial"/>
        </w:rPr>
      </w:pPr>
      <w:r>
        <w:rPr>
          <w:rFonts w:ascii="Arial" w:eastAsia="Arial" w:hAnsi="Arial" w:cs="Arial"/>
        </w:rPr>
        <w:t xml:space="preserve">Dentro del componente “Discapacidad” en el ejercicio de participación las aspiraciones comunes, el objetivo en el que más participaron las personas con discapacidad fue el de tener oportunidades; sus aportes estuvieron referidos a empleo incluyente, ingresos para las mujeres y la creación de agencias de empleo. </w:t>
      </w:r>
    </w:p>
    <w:p w:rsidR="00D35DC7" w:rsidRDefault="00982954">
      <w:pPr>
        <w:shd w:val="clear" w:color="auto" w:fill="FFFFFF"/>
        <w:spacing w:before="150" w:line="360" w:lineRule="auto"/>
        <w:jc w:val="both"/>
        <w:rPr>
          <w:rFonts w:ascii="Arial" w:eastAsia="Arial" w:hAnsi="Arial" w:cs="Arial"/>
        </w:rPr>
      </w:pPr>
      <w:r>
        <w:rPr>
          <w:rFonts w:ascii="Arial" w:eastAsia="Arial" w:hAnsi="Arial" w:cs="Arial"/>
        </w:rPr>
        <w:t>El segundo objetivo destacado fue el de vivir en bien-estar, centrado en acciones como servicios de salud, servicios para todos y salud diferencial.</w:t>
      </w:r>
    </w:p>
    <w:p w:rsidR="00D35DC7" w:rsidRDefault="00982954">
      <w:pPr>
        <w:shd w:val="clear" w:color="auto" w:fill="FFFFFF"/>
        <w:spacing w:before="150" w:line="360" w:lineRule="auto"/>
        <w:jc w:val="center"/>
        <w:rPr>
          <w:rFonts w:ascii="Arial" w:eastAsia="Arial" w:hAnsi="Arial" w:cs="Arial"/>
        </w:rPr>
      </w:pPr>
      <w:r>
        <w:rPr>
          <w:rFonts w:ascii="Arial" w:eastAsia="Arial" w:hAnsi="Arial" w:cs="Arial"/>
          <w:noProof/>
          <w:lang w:val="es-ES" w:eastAsia="es-ES"/>
        </w:rPr>
        <w:drawing>
          <wp:inline distT="114300" distB="114300" distL="114300" distR="114300">
            <wp:extent cx="5220653" cy="3155437"/>
            <wp:effectExtent l="0" t="0" r="0" b="0"/>
            <wp:docPr id="29"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22"/>
                    <a:srcRect/>
                    <a:stretch>
                      <a:fillRect/>
                    </a:stretch>
                  </pic:blipFill>
                  <pic:spPr>
                    <a:xfrm>
                      <a:off x="0" y="0"/>
                      <a:ext cx="5220653" cy="3155437"/>
                    </a:xfrm>
                    <a:prstGeom prst="rect">
                      <a:avLst/>
                    </a:prstGeom>
                    <a:ln/>
                  </pic:spPr>
                </pic:pic>
              </a:graphicData>
            </a:graphic>
          </wp:inline>
        </w:drawing>
      </w:r>
    </w:p>
    <w:p w:rsidR="00D35DC7" w:rsidRDefault="00D35DC7">
      <w:pPr>
        <w:shd w:val="clear" w:color="auto" w:fill="FFFFFF"/>
        <w:spacing w:before="150"/>
        <w:jc w:val="both"/>
        <w:rPr>
          <w:rFonts w:ascii="Arial" w:eastAsia="Arial" w:hAnsi="Arial" w:cs="Arial"/>
        </w:rPr>
      </w:pPr>
    </w:p>
    <w:p w:rsidR="00D35DC7" w:rsidRDefault="00D35DC7">
      <w:pPr>
        <w:shd w:val="clear" w:color="auto" w:fill="FFFFFF"/>
        <w:spacing w:before="150"/>
        <w:jc w:val="both"/>
        <w:rPr>
          <w:rFonts w:ascii="Arial" w:eastAsia="Arial" w:hAnsi="Arial" w:cs="Arial"/>
        </w:rPr>
      </w:pPr>
    </w:p>
    <w:p w:rsidR="00D35DC7" w:rsidRDefault="00982954">
      <w:pPr>
        <w:shd w:val="clear" w:color="auto" w:fill="FFFFFF"/>
        <w:spacing w:before="150"/>
        <w:jc w:val="center"/>
        <w:rPr>
          <w:rFonts w:ascii="Arial" w:eastAsia="Arial" w:hAnsi="Arial" w:cs="Arial"/>
          <w:b/>
        </w:rPr>
      </w:pPr>
      <w:r>
        <w:rPr>
          <w:rFonts w:ascii="Arial" w:eastAsia="Arial" w:hAnsi="Arial" w:cs="Arial"/>
          <w:b/>
        </w:rPr>
        <w:t>6. APORTES DE LOS CONCEJALES</w:t>
      </w:r>
    </w:p>
    <w:p w:rsidR="00D35DC7" w:rsidRDefault="00D35DC7">
      <w:pPr>
        <w:shd w:val="clear" w:color="auto" w:fill="FFFFFF"/>
        <w:spacing w:before="150"/>
        <w:rPr>
          <w:rFonts w:ascii="Arial" w:eastAsia="Arial" w:hAnsi="Arial" w:cs="Arial"/>
          <w:b/>
        </w:rPr>
      </w:pPr>
    </w:p>
    <w:p w:rsidR="00D35DC7" w:rsidRDefault="00D35DC7">
      <w:pPr>
        <w:shd w:val="clear" w:color="auto" w:fill="FFFFFF"/>
        <w:spacing w:before="150"/>
        <w:jc w:val="center"/>
        <w:rPr>
          <w:rFonts w:ascii="Arial" w:eastAsia="Arial" w:hAnsi="Arial" w:cs="Arial"/>
          <w:b/>
        </w:rPr>
      </w:pPr>
    </w:p>
    <w:p w:rsidR="00D35DC7" w:rsidRDefault="00D35DC7">
      <w:pPr>
        <w:shd w:val="clear" w:color="auto" w:fill="FFFFFF"/>
        <w:spacing w:before="150"/>
        <w:jc w:val="center"/>
        <w:rPr>
          <w:rFonts w:ascii="Arial" w:eastAsia="Arial" w:hAnsi="Arial" w:cs="Arial"/>
          <w:b/>
        </w:rPr>
      </w:pPr>
    </w:p>
    <w:p w:rsidR="00D35DC7" w:rsidRDefault="00982954">
      <w:pPr>
        <w:shd w:val="clear" w:color="auto" w:fill="FFFFFF"/>
        <w:spacing w:before="150"/>
        <w:jc w:val="center"/>
        <w:rPr>
          <w:rFonts w:ascii="Arial" w:eastAsia="Arial" w:hAnsi="Arial" w:cs="Arial"/>
          <w:b/>
        </w:rPr>
      </w:pPr>
      <w:r>
        <w:rPr>
          <w:rFonts w:ascii="Arial" w:eastAsia="Arial" w:hAnsi="Arial" w:cs="Arial"/>
          <w:b/>
        </w:rPr>
        <w:t>7. COMPONENTE FINANCIERO DEL PLAN DE DESARROLLO</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La Administración Distrital a través de la estrategia financiera de las bases del Plan Distrital de Desarrollo, plantea diferentes iniciativas para la generación de mayores ingresos a través de nuevos ingresos tributarios, que junto con  la implementación de principios de austeridad, eficiencia y calidad de gasto, les permitirá ejecutar la inversión que necesita la ciudad a través del Plan Plurianual de Inversiones.</w:t>
      </w:r>
    </w:p>
    <w:p w:rsidR="00D35DC7" w:rsidRDefault="00D35DC7">
      <w:pPr>
        <w:shd w:val="clear" w:color="auto" w:fill="FFFFFF"/>
        <w:spacing w:before="240" w:after="240"/>
        <w:jc w:val="both"/>
        <w:rPr>
          <w:rFonts w:ascii="Arial" w:eastAsia="Arial" w:hAnsi="Arial" w:cs="Arial"/>
          <w:b/>
        </w:rPr>
      </w:pPr>
    </w:p>
    <w:p w:rsidR="00D35DC7" w:rsidRDefault="00D35DC7">
      <w:pPr>
        <w:shd w:val="clear" w:color="auto" w:fill="FFFFFF"/>
        <w:spacing w:before="240" w:after="240"/>
        <w:jc w:val="both"/>
        <w:rPr>
          <w:rFonts w:ascii="Arial" w:eastAsia="Arial" w:hAnsi="Arial" w:cs="Arial"/>
          <w:b/>
        </w:rPr>
      </w:pPr>
    </w:p>
    <w:p w:rsidR="00D35DC7" w:rsidRDefault="00982954">
      <w:pPr>
        <w:shd w:val="clear" w:color="auto" w:fill="FFFFFF"/>
        <w:spacing w:before="240" w:after="240"/>
        <w:jc w:val="center"/>
        <w:rPr>
          <w:rFonts w:ascii="Arial" w:eastAsia="Arial" w:hAnsi="Arial" w:cs="Arial"/>
          <w:b/>
        </w:rPr>
      </w:pPr>
      <w:r>
        <w:rPr>
          <w:rFonts w:ascii="Arial" w:eastAsia="Arial" w:hAnsi="Arial" w:cs="Arial"/>
          <w:b/>
        </w:rPr>
        <w:t>Saldo total de la deuda 2010-2024</w:t>
      </w:r>
    </w:p>
    <w:p w:rsidR="00D35DC7" w:rsidRDefault="00982954">
      <w:pPr>
        <w:shd w:val="clear" w:color="auto" w:fill="FFFFFF"/>
        <w:spacing w:before="240" w:after="240"/>
        <w:jc w:val="center"/>
        <w:rPr>
          <w:rFonts w:ascii="Arial" w:eastAsia="Arial" w:hAnsi="Arial" w:cs="Arial"/>
        </w:rPr>
      </w:pPr>
      <w:r>
        <w:rPr>
          <w:rFonts w:ascii="Arial" w:eastAsia="Arial" w:hAnsi="Arial" w:cs="Arial"/>
          <w:noProof/>
          <w:lang w:val="es-ES" w:eastAsia="es-ES"/>
        </w:rPr>
        <w:drawing>
          <wp:inline distT="114300" distB="114300" distL="114300" distR="114300">
            <wp:extent cx="4614863" cy="2804416"/>
            <wp:effectExtent l="0" t="0" r="0" b="0"/>
            <wp:docPr id="24" name="image17.png"/>
            <wp:cNvGraphicFramePr/>
            <a:graphic xmlns:a="http://schemas.openxmlformats.org/drawingml/2006/main">
              <a:graphicData uri="http://schemas.openxmlformats.org/drawingml/2006/picture">
                <pic:pic xmlns:pic="http://schemas.openxmlformats.org/drawingml/2006/picture">
                  <pic:nvPicPr>
                    <pic:cNvPr id="0" name="image17.png"/>
                    <pic:cNvPicPr preferRelativeResize="0"/>
                  </pic:nvPicPr>
                  <pic:blipFill>
                    <a:blip r:embed="rId23"/>
                    <a:srcRect/>
                    <a:stretch>
                      <a:fillRect/>
                    </a:stretch>
                  </pic:blipFill>
                  <pic:spPr>
                    <a:xfrm>
                      <a:off x="0" y="0"/>
                      <a:ext cx="4614863" cy="2804416"/>
                    </a:xfrm>
                    <a:prstGeom prst="rect">
                      <a:avLst/>
                    </a:prstGeom>
                    <a:ln/>
                  </pic:spPr>
                </pic:pic>
              </a:graphicData>
            </a:graphic>
          </wp:inline>
        </w:drawing>
      </w:r>
    </w:p>
    <w:p w:rsidR="00D35DC7" w:rsidRDefault="00982954">
      <w:pPr>
        <w:shd w:val="clear" w:color="auto" w:fill="FFFFFF"/>
        <w:spacing w:before="240" w:after="240"/>
        <w:jc w:val="center"/>
        <w:rPr>
          <w:rFonts w:ascii="Arial" w:eastAsia="Arial" w:hAnsi="Arial" w:cs="Arial"/>
          <w:b/>
          <w:sz w:val="18"/>
          <w:szCs w:val="18"/>
        </w:rPr>
      </w:pPr>
      <w:r>
        <w:rPr>
          <w:rFonts w:ascii="Arial" w:eastAsia="Arial" w:hAnsi="Arial" w:cs="Arial"/>
          <w:b/>
          <w:sz w:val="18"/>
          <w:szCs w:val="18"/>
        </w:rPr>
        <w:t>Fuente: Secretaría de Hacienda.</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Es importante anotar que durante los últimos años se han presentado presiones en las finanzas públicas de la ciudad que limitan la inversión pública, debido a un aumento del 173%  del endeudamiento por parte de la administración de la ex alcaldesa Claudia López entre 2020-2023, lo que significó pasar de una deuda total de 3,4 billones a 9,3 billones, y por ende una mayor destinación en el presupuesto para pagar el servicio de la deuda pasando de 382 mil millones en el 2020 a 2,13 billones para el 2024.</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Sumado a esto, el FET podría presentar un crecimiento significativo, que pasaría de $9,8 billones de aportes del Distrito entre 2020-2023, a precios de 2024, a aportes que podrían ascender a $13,8 billones entre 2024-2027.</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En ese sentido, la Administración Distrital dentro de la estrategia financiera del Plan de Desarrollo plantea el fortalecimiento del recaudo tributario como herramienta fundamental para llevar a cabo las inversiones planteadas para el cuatrienio.</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Esto se llevará a cabo a través de estrategias de reducción de la evasión y fortalecimiento de los procesos de fiscalización mediante el intercambio de información tributaria con diferentes entidades del orden nacional y territorial, entre otros aspectos. Esta estrategia de gestión de cartera busca generar recursos superiores a $5,5 billones de 2024, entre 2024 y 2027, es decir, $2 billones más en comparación al periodo 2020-2023 a través de dos medidas: i) el cobro prejurídico, que permitirá, a través de la gestión masiva de obligaciones, utilizando mecanismos persuasivos, invitar a los ciudadanos morosos al pago sin que medie la apertura de procesos de cobro coactivo, y ii) el cobro coactivo, que se llevará a cabo atendiendo las etapas previstas en el Estatuto Tributario Nacional.</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Por otra parte, la administración plantea la gestión de nuevos ingresos nuevos ingresos tributarios, tales como la contribución a parqueaderos, el cobro por alumbrado público y la sobretasa bomberil, las cuales en conjunto se espera que sumen $1,5 billones, a precios de 2024, entre los años 2024 y 2027.</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 xml:space="preserve">Asimismo, buscará la cofinanciación para el Sistema Integrado de Transporte Público, con base en las medidas contempladas en el Plan de Desarrollo del Gobierno Nacional; además de medidas como un mayor control de la evasión en este sistema, la implementación de eficiencias financieras a través del uso de Vigencias Futuras distritales para la compra futura de flota, entre otros, espera representen una eficiencia de $1,5 billones en el Fondo de Estabilización Tarifaria (FET), el cual significa un alivio al esfuerzo fiscal, que llegaría a $12,3 billones, en lugar de $13,8 billones en el período 2024-2027.   </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 xml:space="preserve">Adicionalmente, la administración buscará a través de acciones como programas de educación tributaria y fortalecimiento de todos los canales de atención,para que los contribuyentes puedan atender sus obligaciones tributarias. </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Dentro de esto una meta importante es reducir los niveles de evasión por lo cual al finalizar el cuatrienio se reducirá la evasión de los impuestos predial, vehículos e ICA en 4%, 3% y 2% respectivamente.</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 xml:space="preserve">Otra fuente importante para la financiación que plantea el PDD será el endeudamiento. La Administración presentará próximamente para aprobación del Concejo, un cupo de endeudamiento hasta por 8 billones de pesos, que permitirá la financiación de diferentes proyectos de infraestructura y gastos de inversión de la Administración Central y los Establecimientos Públicos. </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Finalmente, la administración se plantea medidas de austeridad a todas las entidades, redireccionando recursos o haciendo un uso más eficaz de ellos, con el fin de fortalecer inversiones de mayor impacto, a saber:</w:t>
      </w:r>
    </w:p>
    <w:p w:rsidR="00D35DC7" w:rsidRDefault="00982954">
      <w:pPr>
        <w:shd w:val="clear" w:color="auto" w:fill="FFFFFF"/>
        <w:spacing w:before="240" w:after="240" w:line="360" w:lineRule="auto"/>
        <w:ind w:left="780" w:hanging="360"/>
        <w:jc w:val="both"/>
        <w:rPr>
          <w:rFonts w:ascii="Arial" w:eastAsia="Arial" w:hAnsi="Arial" w:cs="Arial"/>
        </w:rPr>
      </w:pPr>
      <w:r>
        <w:rPr>
          <w:rFonts w:ascii="Arial" w:eastAsia="Arial" w:hAnsi="Arial" w:cs="Arial"/>
        </w:rPr>
        <w:t>-</w:t>
      </w:r>
      <w:r>
        <w:rPr>
          <w:rFonts w:ascii="Arial" w:eastAsia="Arial" w:hAnsi="Arial" w:cs="Arial"/>
          <w:sz w:val="14"/>
          <w:szCs w:val="14"/>
        </w:rPr>
        <w:t xml:space="preserve">   </w:t>
      </w:r>
      <w:r>
        <w:rPr>
          <w:rFonts w:ascii="Arial" w:eastAsia="Arial" w:hAnsi="Arial" w:cs="Arial"/>
          <w:sz w:val="14"/>
          <w:szCs w:val="14"/>
        </w:rPr>
        <w:tab/>
      </w:r>
      <w:r>
        <w:rPr>
          <w:rFonts w:ascii="Arial" w:eastAsia="Arial" w:hAnsi="Arial" w:cs="Arial"/>
        </w:rPr>
        <w:t>Reducir gastos en órdenes de prestación de servicios e implementar los diferentes componentes de los planes de austeridad;</w:t>
      </w:r>
    </w:p>
    <w:p w:rsidR="00D35DC7" w:rsidRDefault="00982954">
      <w:pPr>
        <w:shd w:val="clear" w:color="auto" w:fill="FFFFFF"/>
        <w:spacing w:before="240" w:after="240" w:line="360" w:lineRule="auto"/>
        <w:ind w:left="780" w:hanging="360"/>
        <w:jc w:val="both"/>
        <w:rPr>
          <w:rFonts w:ascii="Arial" w:eastAsia="Arial" w:hAnsi="Arial" w:cs="Arial"/>
        </w:rPr>
      </w:pPr>
      <w:r>
        <w:rPr>
          <w:rFonts w:ascii="Arial" w:eastAsia="Arial" w:hAnsi="Arial" w:cs="Arial"/>
        </w:rPr>
        <w:t>-</w:t>
      </w:r>
      <w:r>
        <w:rPr>
          <w:rFonts w:ascii="Arial" w:eastAsia="Arial" w:hAnsi="Arial" w:cs="Arial"/>
          <w:sz w:val="14"/>
          <w:szCs w:val="14"/>
        </w:rPr>
        <w:t xml:space="preserve">   </w:t>
      </w:r>
      <w:r>
        <w:rPr>
          <w:rFonts w:ascii="Arial" w:eastAsia="Arial" w:hAnsi="Arial" w:cs="Arial"/>
          <w:sz w:val="14"/>
          <w:szCs w:val="14"/>
        </w:rPr>
        <w:tab/>
      </w:r>
      <w:r>
        <w:rPr>
          <w:rFonts w:ascii="Arial" w:eastAsia="Arial" w:hAnsi="Arial" w:cs="Arial"/>
        </w:rPr>
        <w:t>Reprogramar Vigencias Futuras del IDU-Transmilenio, entre otras, para ajustar la programación presupuestal al avance efectivo de las obras;</w:t>
      </w:r>
    </w:p>
    <w:p w:rsidR="00D35DC7" w:rsidRDefault="00982954">
      <w:pPr>
        <w:shd w:val="clear" w:color="auto" w:fill="FFFFFF"/>
        <w:spacing w:before="240" w:after="240" w:line="360" w:lineRule="auto"/>
        <w:ind w:left="780" w:hanging="360"/>
        <w:jc w:val="both"/>
        <w:rPr>
          <w:rFonts w:ascii="Arial" w:eastAsia="Arial" w:hAnsi="Arial" w:cs="Arial"/>
        </w:rPr>
      </w:pPr>
      <w:r>
        <w:rPr>
          <w:rFonts w:ascii="Arial" w:eastAsia="Arial" w:hAnsi="Arial" w:cs="Arial"/>
        </w:rPr>
        <w:t>-</w:t>
      </w:r>
      <w:r>
        <w:rPr>
          <w:rFonts w:ascii="Arial" w:eastAsia="Arial" w:hAnsi="Arial" w:cs="Arial"/>
          <w:sz w:val="14"/>
          <w:szCs w:val="14"/>
        </w:rPr>
        <w:t xml:space="preserve">       </w:t>
      </w:r>
      <w:r>
        <w:rPr>
          <w:rFonts w:ascii="Arial" w:eastAsia="Arial" w:hAnsi="Arial" w:cs="Arial"/>
        </w:rPr>
        <w:t>Optimizar recursos del FET, como se mencionó anteriormente, reduciendo la brecha de la tarifa técnica con medidas contra la evasión, eficiencia operacional del sistema, mejor gestión de fuentes y la renovación de flota con cofinanciación de la Nación.</w:t>
      </w:r>
    </w:p>
    <w:p w:rsidR="00D35DC7" w:rsidRDefault="00982954">
      <w:pPr>
        <w:shd w:val="clear" w:color="auto" w:fill="FFFFFF"/>
        <w:spacing w:before="240" w:after="240" w:line="360" w:lineRule="auto"/>
        <w:ind w:left="780" w:hanging="360"/>
        <w:jc w:val="both"/>
        <w:rPr>
          <w:rFonts w:ascii="Arial" w:eastAsia="Arial" w:hAnsi="Arial" w:cs="Arial"/>
        </w:rPr>
      </w:pPr>
      <w:r>
        <w:rPr>
          <w:rFonts w:ascii="Arial" w:eastAsia="Arial" w:hAnsi="Arial" w:cs="Arial"/>
        </w:rPr>
        <w:t>-</w:t>
      </w:r>
      <w:r>
        <w:rPr>
          <w:rFonts w:ascii="Arial" w:eastAsia="Arial" w:hAnsi="Arial" w:cs="Arial"/>
          <w:sz w:val="14"/>
          <w:szCs w:val="14"/>
        </w:rPr>
        <w:t xml:space="preserve">   </w:t>
      </w:r>
      <w:r>
        <w:rPr>
          <w:rFonts w:ascii="Arial" w:eastAsia="Arial" w:hAnsi="Arial" w:cs="Arial"/>
          <w:sz w:val="14"/>
          <w:szCs w:val="14"/>
        </w:rPr>
        <w:tab/>
      </w:r>
      <w:r>
        <w:rPr>
          <w:rFonts w:ascii="Arial" w:eastAsia="Arial" w:hAnsi="Arial" w:cs="Arial"/>
        </w:rPr>
        <w:t>Utilizar el mecanismo de vigencias futuras en la planeación y ejecución presupuestal de todas las entidades y de los Fondos de Desarrollo Local</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De esta manera, para el periodo 2024-2027 se alcanzaría un monto de inversión de la administración central y los establecimientos públicos de $114,1 billones de 2024, financiado con nuevos ingresos, gestión de cartera y un nuevo cupo de endeudamiento para apoyar las grandes apuestas del Plan Distrital de Desarrollo. Suma que asciende a $142,5 billones de 2024 teniendo en cuenta los ingresos propios de las Empresas Industriales y Comerciales y los recursos del Sistema General de Regalías.</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A continuación, se detalla la proyección de fuentes de financiación para el Plan de Desarrollo 2024-2027 “Bogotá camina segura”:</w:t>
      </w:r>
    </w:p>
    <w:p w:rsidR="00D35DC7" w:rsidRDefault="00982954">
      <w:pPr>
        <w:shd w:val="clear" w:color="auto" w:fill="FFFFFF"/>
        <w:spacing w:before="150"/>
        <w:jc w:val="center"/>
        <w:rPr>
          <w:rFonts w:ascii="Arial" w:eastAsia="Arial" w:hAnsi="Arial" w:cs="Arial"/>
          <w:b/>
        </w:rPr>
      </w:pPr>
      <w:r>
        <w:rPr>
          <w:rFonts w:ascii="Arial" w:eastAsia="Arial" w:hAnsi="Arial" w:cs="Arial"/>
          <w:b/>
          <w:noProof/>
          <w:lang w:val="es-ES" w:eastAsia="es-ES"/>
        </w:rPr>
        <w:drawing>
          <wp:inline distT="114300" distB="114300" distL="114300" distR="114300">
            <wp:extent cx="5612130" cy="3581400"/>
            <wp:effectExtent l="0" t="0" r="0" b="0"/>
            <wp:docPr id="30"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24"/>
                    <a:srcRect/>
                    <a:stretch>
                      <a:fillRect/>
                    </a:stretch>
                  </pic:blipFill>
                  <pic:spPr>
                    <a:xfrm>
                      <a:off x="0" y="0"/>
                      <a:ext cx="5612130" cy="3581400"/>
                    </a:xfrm>
                    <a:prstGeom prst="rect">
                      <a:avLst/>
                    </a:prstGeom>
                    <a:ln/>
                  </pic:spPr>
                </pic:pic>
              </a:graphicData>
            </a:graphic>
          </wp:inline>
        </w:drawing>
      </w:r>
    </w:p>
    <w:p w:rsidR="00D35DC7" w:rsidRDefault="00982954">
      <w:pPr>
        <w:shd w:val="clear" w:color="auto" w:fill="FFFFFF"/>
        <w:spacing w:before="150"/>
        <w:jc w:val="center"/>
        <w:rPr>
          <w:rFonts w:ascii="Arial" w:eastAsia="Arial" w:hAnsi="Arial" w:cs="Arial"/>
          <w:b/>
          <w:sz w:val="18"/>
          <w:szCs w:val="18"/>
        </w:rPr>
      </w:pPr>
      <w:r>
        <w:rPr>
          <w:rFonts w:ascii="Arial" w:eastAsia="Arial" w:hAnsi="Arial" w:cs="Arial"/>
          <w:b/>
          <w:sz w:val="18"/>
          <w:szCs w:val="18"/>
        </w:rPr>
        <w:t>Fuente: Secretaría de Hacienda.</w:t>
      </w:r>
    </w:p>
    <w:p w:rsidR="00D35DC7" w:rsidRDefault="00D35DC7">
      <w:pPr>
        <w:shd w:val="clear" w:color="auto" w:fill="FFFFFF"/>
        <w:spacing w:before="150"/>
        <w:jc w:val="center"/>
        <w:rPr>
          <w:rFonts w:ascii="Arial" w:eastAsia="Arial" w:hAnsi="Arial" w:cs="Arial"/>
          <w:b/>
        </w:rPr>
      </w:pPr>
    </w:p>
    <w:p w:rsidR="00D35DC7" w:rsidRDefault="00D35DC7">
      <w:pPr>
        <w:shd w:val="clear" w:color="auto" w:fill="FFFFFF"/>
        <w:spacing w:before="150"/>
        <w:jc w:val="center"/>
        <w:rPr>
          <w:rFonts w:ascii="Arial" w:eastAsia="Arial" w:hAnsi="Arial" w:cs="Arial"/>
          <w:b/>
        </w:rPr>
      </w:pPr>
    </w:p>
    <w:p w:rsidR="00D35DC7" w:rsidRDefault="00D35DC7">
      <w:pPr>
        <w:shd w:val="clear" w:color="auto" w:fill="FFFFFF"/>
        <w:spacing w:before="150"/>
        <w:jc w:val="center"/>
        <w:rPr>
          <w:rFonts w:ascii="Arial" w:eastAsia="Arial" w:hAnsi="Arial" w:cs="Arial"/>
          <w:b/>
        </w:rPr>
      </w:pPr>
    </w:p>
    <w:p w:rsidR="00D35DC7" w:rsidRDefault="00982954">
      <w:pPr>
        <w:shd w:val="clear" w:color="auto" w:fill="FFFFFF"/>
        <w:spacing w:before="150" w:line="360" w:lineRule="auto"/>
        <w:rPr>
          <w:rFonts w:ascii="Arial" w:eastAsia="Arial" w:hAnsi="Arial" w:cs="Arial"/>
          <w:b/>
        </w:rPr>
      </w:pPr>
      <w:r>
        <w:rPr>
          <w:rFonts w:ascii="Arial" w:eastAsia="Arial" w:hAnsi="Arial" w:cs="Arial"/>
          <w:b/>
        </w:rPr>
        <w:t>COMENTARIOS FRENTE A LA ESTRATEGIA FINANCIERA</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Es importante advertir que conforme a la información suministrada en la elaboración de esta ponencia, este cupo de endeudamiento llevará a un aumento en el indicador de sostenibilidad  del 50,1% al 80,5%, acercándose al 100% que señala la ley 358 de 1997 como barrera para que las entidades territoriales puedan contratar nuevas operaciones de crédito público, y que podría representar una nueva limitación a futuro para la que la ciudad realice inversiones públicas.</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Aunque la administración señala que adelantará diferentes acciones para fomentar una política de austeridad del gasto público, esta política debe señalar metas más claras, para que genere un compromiso en la reducción del gasto y se envíe el mensaje a la  ciudadanía que el Distrito le dará un uso eficiente a las finanzas públicas.</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 xml:space="preserve">Frente a los nuevos ingresos tributarios que plantea el plan de desarrollo que representan 1,5 billones de pesos, es decir el 1% del total de los ingresos del plan, si bien son recursos importantes, el momento político y económico que vive el país no es el adecuado, y la administración no puede traer cargas tributarias a la ciudadanía. </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Al respecto de los tres nuevos ingresos tributarios que propone el plan de desarrollo, esta ponencia los elimina por las siguientes razones:</w:t>
      </w:r>
    </w:p>
    <w:p w:rsidR="00D35DC7" w:rsidRDefault="00982954">
      <w:pPr>
        <w:shd w:val="clear" w:color="auto" w:fill="FFFFFF"/>
        <w:spacing w:before="240" w:after="240" w:line="360" w:lineRule="auto"/>
        <w:jc w:val="both"/>
        <w:rPr>
          <w:rFonts w:ascii="Arial" w:eastAsia="Arial" w:hAnsi="Arial" w:cs="Arial"/>
          <w:b/>
        </w:rPr>
      </w:pPr>
      <w:r>
        <w:rPr>
          <w:rFonts w:ascii="Arial" w:eastAsia="Arial" w:hAnsi="Arial" w:cs="Arial"/>
          <w:b/>
        </w:rPr>
        <w:t>Impuesto Alumbrado</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La Ley 1819 de 2016, en el artículo 351 señala que se debe tener un estudio técnico de referencia para el cobro del impuesto, dicho estudio no se adjunto en la exposición de motivos del plan de desarrollo, y aunque se dio a conocer el miércoles 15 de mayo durante las conversaciones que se adelantaron para la preparación de la ponencia, este estudio todavía no es público para que reciba la retroalimentación y los comentarios por parte de expertos en el tema.</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En las bases del plan de desarrollo se menciona que se destinaría para renovar el alumbrado público ya que esto ayudaría a mejorar la seguridad en las ciudades.Sin embargo,  no se explica de manera específica cuál va a ser el destino de los 989 mil millones que va a recaudar este impuesto.</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Por otro lado, este impuesto debe tener en cuenta el impacto en los ciudadanos, el país ha soportado un presión inflacionaria que ha encarecido el costo de vida, sobretodo en los sectores más pobres, al analizar la información de la la inflación por canastas especiales que hace el DANE para el mes de abril de 2024, el IPC anual de energéticos es el más alto con una cifra del 21,87% , es decir que la energía es 3 veces más alta que la inflación anual.</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Adicionalmente, algo que no contempla el impuesto ni la justificación es el impacto al sector empresarial, por ejemplo, según cifras de Asomovil en Bogotá las empresas del sector telecomunicaciones pagan alrededor de casi 1,6 billones de pesos por concepto de energía, de aumentarse en 10% este nuevo costo se le trasladaría a los usuarios, lo mismo pasaría para empresas y sectores que su consumo de energía es alto para operar.</w:t>
      </w:r>
    </w:p>
    <w:p w:rsidR="00D35DC7" w:rsidRDefault="00982954">
      <w:pPr>
        <w:shd w:val="clear" w:color="auto" w:fill="FFFFFF"/>
        <w:spacing w:before="240" w:after="240" w:line="360" w:lineRule="auto"/>
        <w:jc w:val="both"/>
        <w:rPr>
          <w:rFonts w:ascii="Arial" w:eastAsia="Arial" w:hAnsi="Arial" w:cs="Arial"/>
          <w:b/>
        </w:rPr>
      </w:pPr>
      <w:r>
        <w:rPr>
          <w:rFonts w:ascii="Arial" w:eastAsia="Arial" w:hAnsi="Arial" w:cs="Arial"/>
          <w:b/>
        </w:rPr>
        <w:t>Parqueo en fuera de vía</w:t>
      </w:r>
    </w:p>
    <w:p w:rsidR="00D35DC7" w:rsidRDefault="00982954">
      <w:pPr>
        <w:shd w:val="clear" w:color="auto" w:fill="FFFFFF"/>
        <w:spacing w:before="240" w:line="360" w:lineRule="auto"/>
        <w:jc w:val="both"/>
        <w:rPr>
          <w:rFonts w:ascii="Arial" w:eastAsia="Arial" w:hAnsi="Arial" w:cs="Arial"/>
          <w:highlight w:val="white"/>
        </w:rPr>
      </w:pPr>
      <w:r>
        <w:rPr>
          <w:rFonts w:ascii="Arial" w:eastAsia="Arial" w:hAnsi="Arial" w:cs="Arial"/>
          <w:highlight w:val="white"/>
        </w:rPr>
        <w:t>En Bogotá el cobro excesivo de parqueaderos es muy alto de acuerdo con el Decreto 098 de 2024 Alcaldía Mayor de Bogotá, D.C. “</w:t>
      </w:r>
      <w:r>
        <w:rPr>
          <w:rFonts w:ascii="Arial" w:eastAsia="Arial" w:hAnsi="Arial" w:cs="Arial"/>
          <w:i/>
          <w:highlight w:val="white"/>
        </w:rPr>
        <w:t>Artículo 4°. -Tarifa máxima para parqueaderos y estacionamientos fuera de vía. En función de lo establecido en el artículo 3 del presente Decreto, el Costo Máximo por Minuto (CMPM) será de ciento sesenta y tres pesos m/cte ($163)”</w:t>
      </w:r>
      <w:r>
        <w:rPr>
          <w:rFonts w:ascii="Arial" w:eastAsia="Arial" w:hAnsi="Arial" w:cs="Arial"/>
          <w:highlight w:val="white"/>
        </w:rPr>
        <w:t>. Adicional de la tarifa se debe incluir el IVA del 19% y sumarle un 17%, es decir el costo sería aún mayor como lo evidencia el siguiente ejemplo:</w:t>
      </w:r>
    </w:p>
    <w:p w:rsidR="00D35DC7" w:rsidRDefault="00982954">
      <w:pPr>
        <w:shd w:val="clear" w:color="auto" w:fill="FFFFFF"/>
        <w:spacing w:before="240" w:line="360" w:lineRule="auto"/>
        <w:jc w:val="center"/>
        <w:rPr>
          <w:rFonts w:ascii="Arial" w:eastAsia="Arial" w:hAnsi="Arial" w:cs="Arial"/>
          <w:highlight w:val="white"/>
        </w:rPr>
      </w:pPr>
      <w:r>
        <w:rPr>
          <w:rFonts w:ascii="Arial" w:eastAsia="Arial" w:hAnsi="Arial" w:cs="Arial"/>
          <w:noProof/>
          <w:highlight w:val="white"/>
          <w:lang w:val="es-ES" w:eastAsia="es-ES"/>
        </w:rPr>
        <w:drawing>
          <wp:inline distT="114300" distB="114300" distL="114300" distR="114300">
            <wp:extent cx="2817975" cy="1061619"/>
            <wp:effectExtent l="0" t="0" r="0" b="0"/>
            <wp:docPr id="28"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25"/>
                    <a:srcRect/>
                    <a:stretch>
                      <a:fillRect/>
                    </a:stretch>
                  </pic:blipFill>
                  <pic:spPr>
                    <a:xfrm>
                      <a:off x="0" y="0"/>
                      <a:ext cx="2817975" cy="1061619"/>
                    </a:xfrm>
                    <a:prstGeom prst="rect">
                      <a:avLst/>
                    </a:prstGeom>
                    <a:ln/>
                  </pic:spPr>
                </pic:pic>
              </a:graphicData>
            </a:graphic>
          </wp:inline>
        </w:drawing>
      </w:r>
    </w:p>
    <w:p w:rsidR="00D35DC7" w:rsidRDefault="00982954">
      <w:pPr>
        <w:shd w:val="clear" w:color="auto" w:fill="FFFFFF"/>
        <w:spacing w:before="240" w:after="240" w:line="360" w:lineRule="auto"/>
        <w:jc w:val="both"/>
        <w:rPr>
          <w:rFonts w:ascii="Arial" w:eastAsia="Arial" w:hAnsi="Arial" w:cs="Arial"/>
          <w:highlight w:val="white"/>
        </w:rPr>
      </w:pPr>
      <w:r>
        <w:rPr>
          <w:rFonts w:ascii="Arial" w:eastAsia="Arial" w:hAnsi="Arial" w:cs="Arial"/>
          <w:highlight w:val="white"/>
        </w:rPr>
        <w:t>Adicionalmente, hay que tener en cuenta otros costos al tener vehículo, entre ellos:  el galón de gasolina promedio asciende a 15.861, uso a la semana 2 o 3 días máximo, Impuesto de Vehículos (desde 1,5% hasta el 3,5% según avalúo del vehículo), semaforización $87.000, SOAT, revisión tecnicomecanica, etc.</w:t>
      </w:r>
    </w:p>
    <w:p w:rsidR="00D35DC7" w:rsidRDefault="00982954">
      <w:pPr>
        <w:shd w:val="clear" w:color="auto" w:fill="FFFFFF"/>
        <w:spacing w:before="240" w:after="240" w:line="360" w:lineRule="auto"/>
        <w:jc w:val="both"/>
        <w:rPr>
          <w:rFonts w:ascii="Arial" w:eastAsia="Arial" w:hAnsi="Arial" w:cs="Arial"/>
          <w:highlight w:val="white"/>
        </w:rPr>
      </w:pPr>
      <w:r>
        <w:rPr>
          <w:rFonts w:ascii="Arial" w:eastAsia="Arial" w:hAnsi="Arial" w:cs="Arial"/>
          <w:highlight w:val="white"/>
        </w:rPr>
        <w:t>No se puede seguir castigando el uso del vehículo, cuando existe un déficit en la oferta y en la calidad del servicio público de transporte de la ciudad, y también es importante anotar que los vehículos y motos representan una herramienta de trabajo y medio de subsistencia para las familias de la ciudad.</w:t>
      </w:r>
    </w:p>
    <w:p w:rsidR="00D35DC7" w:rsidRDefault="00982954">
      <w:pPr>
        <w:shd w:val="clear" w:color="auto" w:fill="FFFFFF"/>
        <w:spacing w:before="240" w:after="240" w:line="360" w:lineRule="auto"/>
        <w:jc w:val="both"/>
        <w:rPr>
          <w:rFonts w:ascii="Arial" w:eastAsia="Arial" w:hAnsi="Arial" w:cs="Arial"/>
          <w:b/>
          <w:highlight w:val="white"/>
        </w:rPr>
      </w:pPr>
      <w:r>
        <w:rPr>
          <w:rFonts w:ascii="Arial" w:eastAsia="Arial" w:hAnsi="Arial" w:cs="Arial"/>
          <w:b/>
          <w:highlight w:val="white"/>
        </w:rPr>
        <w:t>Sobretasa Bomberil</w:t>
      </w:r>
    </w:p>
    <w:p w:rsidR="00D35DC7" w:rsidRDefault="00982954">
      <w:pPr>
        <w:shd w:val="clear" w:color="auto" w:fill="FFFFFF"/>
        <w:spacing w:before="240" w:after="240" w:line="360" w:lineRule="auto"/>
        <w:jc w:val="both"/>
        <w:rPr>
          <w:rFonts w:ascii="Arial" w:eastAsia="Arial" w:hAnsi="Arial" w:cs="Arial"/>
          <w:highlight w:val="white"/>
        </w:rPr>
      </w:pPr>
      <w:r>
        <w:rPr>
          <w:rFonts w:ascii="Arial" w:eastAsia="Arial" w:hAnsi="Arial" w:cs="Arial"/>
          <w:highlight w:val="white"/>
        </w:rPr>
        <w:t>La emergencia ambiental que vivió la ciudad con los incendios forestales a comienzos de este año, representó un gran reto para la administración y puso en evidencia la necesidad de renovar la capacidad que tiene la ciudad para atender este tipo de emergencias, lo que implica la consecución de recursos para mejorar la capacidades del cuerpo oficial de bomberos.</w:t>
      </w:r>
    </w:p>
    <w:p w:rsidR="00D35DC7" w:rsidRDefault="00982954">
      <w:pPr>
        <w:shd w:val="clear" w:color="auto" w:fill="FFFFFF"/>
        <w:spacing w:before="240" w:after="240" w:line="360" w:lineRule="auto"/>
        <w:jc w:val="both"/>
        <w:rPr>
          <w:rFonts w:ascii="Arial" w:eastAsia="Arial" w:hAnsi="Arial" w:cs="Arial"/>
          <w:highlight w:val="white"/>
        </w:rPr>
      </w:pPr>
      <w:r>
        <w:rPr>
          <w:rFonts w:ascii="Arial" w:eastAsia="Arial" w:hAnsi="Arial" w:cs="Arial"/>
          <w:highlight w:val="white"/>
        </w:rPr>
        <w:t>Sin embargo, el momento económico que está viviendo el país, con un crecimiento económico para el primer trimestre de tan solo 0,6%, la caída en la producción manufacturera, la caída en la inversión, los anuncios por parte del gobierno nacional para ampliar el cupo de la deuda, dan cuenta que no es momento de cargar a las empresas con nuevos impuestos.</w:t>
      </w:r>
    </w:p>
    <w:p w:rsidR="00D35DC7" w:rsidRDefault="00982954">
      <w:pPr>
        <w:shd w:val="clear" w:color="auto" w:fill="FFFFFF"/>
        <w:spacing w:before="240" w:after="240" w:line="360" w:lineRule="auto"/>
        <w:jc w:val="both"/>
        <w:rPr>
          <w:rFonts w:ascii="Arial" w:eastAsia="Arial" w:hAnsi="Arial" w:cs="Arial"/>
          <w:highlight w:val="white"/>
        </w:rPr>
      </w:pPr>
      <w:r>
        <w:rPr>
          <w:rFonts w:ascii="Arial" w:eastAsia="Arial" w:hAnsi="Arial" w:cs="Arial"/>
          <w:highlight w:val="white"/>
        </w:rPr>
        <w:t xml:space="preserve">Frente a este impuesto, se propone que sea una contribución voluntaria por parte de los empresarios. </w:t>
      </w:r>
    </w:p>
    <w:p w:rsidR="00D35DC7" w:rsidRDefault="00D35DC7">
      <w:pPr>
        <w:shd w:val="clear" w:color="auto" w:fill="FFFFFF"/>
        <w:spacing w:before="150"/>
        <w:rPr>
          <w:rFonts w:ascii="Arial" w:eastAsia="Arial" w:hAnsi="Arial" w:cs="Arial"/>
          <w:b/>
        </w:rPr>
      </w:pPr>
    </w:p>
    <w:p w:rsidR="00D35DC7" w:rsidRDefault="00982954">
      <w:pPr>
        <w:shd w:val="clear" w:color="auto" w:fill="FFFFFF"/>
        <w:spacing w:before="150" w:line="360" w:lineRule="auto"/>
        <w:jc w:val="center"/>
        <w:rPr>
          <w:rFonts w:ascii="Arial" w:eastAsia="Arial" w:hAnsi="Arial" w:cs="Arial"/>
          <w:b/>
        </w:rPr>
      </w:pPr>
      <w:r>
        <w:rPr>
          <w:rFonts w:ascii="Arial" w:eastAsia="Arial" w:hAnsi="Arial" w:cs="Arial"/>
          <w:b/>
        </w:rPr>
        <w:t>8. CUMPLIMIENTO DE REQUISITOS Y DEL ACUERDO 878 DE 2023</w:t>
      </w:r>
    </w:p>
    <w:p w:rsidR="00D35DC7" w:rsidRDefault="00982954">
      <w:pPr>
        <w:shd w:val="clear" w:color="auto" w:fill="FFFFFF"/>
        <w:spacing w:before="150" w:line="360" w:lineRule="auto"/>
        <w:jc w:val="both"/>
        <w:rPr>
          <w:rFonts w:ascii="Arial" w:eastAsia="Arial" w:hAnsi="Arial" w:cs="Arial"/>
          <w:b/>
        </w:rPr>
      </w:pPr>
      <w:r>
        <w:rPr>
          <w:rFonts w:ascii="Arial" w:eastAsia="Arial" w:hAnsi="Arial" w:cs="Arial"/>
          <w:b/>
        </w:rPr>
        <w:t>8.1 PROCURADURÍA GENERAL DE LA NACIÓN.</w:t>
      </w:r>
    </w:p>
    <w:p w:rsidR="00D35DC7" w:rsidRDefault="00982954">
      <w:pPr>
        <w:shd w:val="clear" w:color="auto" w:fill="FFFFFF"/>
        <w:spacing w:before="150" w:line="360" w:lineRule="auto"/>
        <w:jc w:val="both"/>
        <w:rPr>
          <w:rFonts w:ascii="Arial" w:eastAsia="Arial" w:hAnsi="Arial" w:cs="Arial"/>
        </w:rPr>
      </w:pPr>
      <w:r>
        <w:rPr>
          <w:rFonts w:ascii="Arial" w:eastAsia="Arial" w:hAnsi="Arial" w:cs="Arial"/>
        </w:rPr>
        <w:t>Dando cumplimiento a las diferentes circulares, resoluciones y directivas expedidas por la Procuraduría General de la Nación, como la Directiva No. 0012 de 2020,  dirigidas a las entidades territoriales, asambleas y concejos  se revisó si el proyecto de acuerdo cumple con los requisitos exigidos por este organismo de control, a lo cual se procedió a verificar estos requisitos y a preguntar  mediante derecho de petición a la Secretaría de Planeación, por lo que me permito transcribir la respuesta de la administración a esta solicitud:</w:t>
      </w:r>
    </w:p>
    <w:p w:rsidR="00D35DC7" w:rsidRDefault="00982954">
      <w:pPr>
        <w:shd w:val="clear" w:color="auto" w:fill="FFFFFF"/>
        <w:spacing w:before="240" w:after="240" w:line="360" w:lineRule="auto"/>
        <w:ind w:left="360"/>
        <w:jc w:val="both"/>
        <w:rPr>
          <w:rFonts w:ascii="Arial" w:eastAsia="Arial" w:hAnsi="Arial" w:cs="Arial"/>
          <w:b/>
          <w:sz w:val="20"/>
          <w:szCs w:val="20"/>
        </w:rPr>
      </w:pPr>
      <w:r>
        <w:rPr>
          <w:rFonts w:ascii="Arial" w:eastAsia="Arial" w:hAnsi="Arial" w:cs="Arial"/>
          <w:b/>
        </w:rPr>
        <w:t xml:space="preserve">1. Acciones que se contemplan en el Plan de Desarrollo de Inspección, vigilancia y control sobre el Programa de Alimentación Escolar –PAE- </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La Secretaría Distrital de Salud de Bogotá - SDS, a través de las Subredes Integradas de Servicios de Salud, y conforme a las competencias establecidas en la Ley 09 de 1979, Ley 1122 de 2007, Decreto 780 de 2016 y demás normas sanitarias, continuará con las actividades de inspección, vigilancia y control, en ensambladoras de refrigerios, servicios de catering y vehículos transportadores de alimentos, pertenecientes a los  programas de la Secretaría de Educación en el Distrito Capital, para garantizar la calidad e inocuidad de los alimentos y evitar la ocurrencia de eventos en Salud Pública como las Enfermedades Transmitidas por alimentos ETA, teniendo en cuenta lo estipulado en las normas sanitarias vigentes conforme a la Ley 09 de 1979, Ley 1122 de 2007, Resolución 1229 de 2013, Resolución 2674 de 2013,  Resolución 5109 de 2005 y demás normas que rigen sobre la materia, en el marco de la meta propuesta “A 2028 Incrementar en un 7% el número de establecimientos vigilados y controlados en el D.C.”</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Todo el tema de inspección, vigilancia y control (IVC) en materia de salud y salubridad, a pesar de que sea referente a PAE, corresponde a la Secretaría de Salud, pero desde la secretaría de Educación, en IVC se adelantan acciones preventivas. Con la interventoría se adelanta verificación y toma de muestras permanentes organolépticas, muestras y contra - muestras microbiológicas, químicas, bromatológicas y físico-químicas para garantizar la calidad y la inocuidad de los alimentos. También hay esquemas de prevención que deben cumplir todos los proveedores de alimentos. igualmente, se aplican los lineamientos y se implementan los esquemas de prevención. Adicionalmente, a través de la promoción de estilos de vida saludables que se trabajan en el marco de la implementación del PAE, se busca contribuir al desarrollo de hábitos saludables, actividad física, alimentación adecuada y prevención de riesgos de accidentes.</w:t>
      </w:r>
    </w:p>
    <w:p w:rsidR="00D35DC7" w:rsidRDefault="00982954">
      <w:pPr>
        <w:shd w:val="clear" w:color="auto" w:fill="FFFFFF"/>
        <w:spacing w:before="240" w:after="240" w:line="360" w:lineRule="auto"/>
        <w:jc w:val="both"/>
        <w:rPr>
          <w:rFonts w:ascii="Arial" w:eastAsia="Arial" w:hAnsi="Arial" w:cs="Arial"/>
          <w:b/>
        </w:rPr>
      </w:pPr>
      <w:r>
        <w:rPr>
          <w:rFonts w:ascii="Arial" w:eastAsia="Arial" w:hAnsi="Arial" w:cs="Arial"/>
          <w:b/>
        </w:rPr>
        <w:t xml:space="preserve">2. Cumplimiento de las normas para la protección de personas defensoras de derechos humanos, autoridades éticas y líderes sociales en el nivel territorial. </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En el marco de la misionalidad de la Dirección de Derechos Humanos, se encuentra la meta formulada para rutas de atención “Atender el 100% de las personas que ingresan a las rutas de prevención de vulneraciones de los derechos humanos de mujeres, personas de los sectores sociales LGBTI, víctimas de trata de personas, víctimas de abuso de autoridad, defensores y defensoras de derechos humanos, población en proceso de reintegración o reincorporación y a la atención de derechos fundamentales de religión, culto y conciencia”.</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El alcance de esta meta es garantizar que todas las personas que demanden atención en las 5 rutas de la Dirección de Derechos Humanos sean atendidas, bajo un enfoque de derechos humanos, género, diferencial étnico, de discapacidad, poblacional y territorial. Lo anterior, a través de la orientación y atención psico-jurídica, fortalecimiento del componente humanitario y ampliación de espacios de difusión de las rutas de atención en localidades para garantizar la presencia y confianza institucional.</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Con respecto a la formulación de metas en el PDD “Bogotá Camina Segura”, de acuerdo con lo mencionado anteriormente, desde la Dirección de Derechos Humanos se pretende fortalecer la atención a la población que demande el servicio de las rutas, a través de las distintas acciones, que fortalezcan la confianza institucional de la ciudadanía.</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En la construcción del Plan, se han construido cinco objetivos estratégicos, de los cuales, esta dependencia se encuentra en la fase de respuesta al que corresponde a “Bogotá confía en su Bien-estar”, cuyo eje principal busca garantizar la construcción del desarrollo ciudadano.</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De acuerdo con lo anterior, y dando cumplimiento a la visión estratégica del Plan Distrital de Desarrollo, la Dirección de Derechos Humanos aportará a la construcción de la ciudad del bien-estar y de la igualdad de oportunidades; para ello, se impulsará el desarrollo equitativo de la población, bajo el cual se propone la meta de fortalecimiento de las rutas de atención de la Dirección de Derechos Humanos.</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Bajo este panorama, se han adelantado los procesos de construcción de la información con memoria institucional y ciudadana, en lo que corresponde a las rutas de atención a población víctima de amenazas, riesgos, vulnerabilidades contra la vida, la integridad y la libertad, entre las cuales se encuentra la Ruta de Atención a defensores y defensoras de Derechos Humanos y Ruta por la reconciliación.</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De esta manera, el fortalecimiento de las rutas y, para el caso que compete con respecto a los líderes sociales, se está proyectando fortalecimiento en:</w:t>
      </w:r>
    </w:p>
    <w:p w:rsidR="00D35DC7" w:rsidRDefault="00982954">
      <w:pPr>
        <w:numPr>
          <w:ilvl w:val="0"/>
          <w:numId w:val="1"/>
        </w:numPr>
        <w:shd w:val="clear" w:color="auto" w:fill="FFFFFF"/>
        <w:spacing w:before="240" w:line="360" w:lineRule="auto"/>
        <w:jc w:val="both"/>
      </w:pPr>
      <w:r>
        <w:rPr>
          <w:rFonts w:ascii="Arial" w:eastAsia="Arial" w:hAnsi="Arial" w:cs="Arial"/>
        </w:rPr>
        <w:t>Difusión de las rutas de atención de la Dirección en las 20 localidades del Distrito Capital.</w:t>
      </w:r>
    </w:p>
    <w:p w:rsidR="00D35DC7" w:rsidRDefault="00982954">
      <w:pPr>
        <w:numPr>
          <w:ilvl w:val="0"/>
          <w:numId w:val="1"/>
        </w:numPr>
        <w:shd w:val="clear" w:color="auto" w:fill="FFFFFF"/>
        <w:spacing w:line="360" w:lineRule="auto"/>
        <w:jc w:val="both"/>
        <w:rPr>
          <w:rFonts w:ascii="Arial" w:eastAsia="Arial" w:hAnsi="Arial" w:cs="Arial"/>
          <w:sz w:val="20"/>
          <w:szCs w:val="20"/>
        </w:rPr>
      </w:pPr>
      <w:r>
        <w:rPr>
          <w:rFonts w:ascii="Arial" w:eastAsia="Arial" w:hAnsi="Arial" w:cs="Arial"/>
        </w:rPr>
        <w:t>Diseño e implementación de estrategias de prevención de violencia a líderes sociales, defensores y defensoras de Derechos Humanos.</w:t>
      </w:r>
    </w:p>
    <w:p w:rsidR="00D35DC7" w:rsidRDefault="00982954">
      <w:pPr>
        <w:numPr>
          <w:ilvl w:val="0"/>
          <w:numId w:val="1"/>
        </w:numPr>
        <w:shd w:val="clear" w:color="auto" w:fill="FFFFFF"/>
        <w:spacing w:line="360" w:lineRule="auto"/>
        <w:jc w:val="both"/>
        <w:rPr>
          <w:rFonts w:ascii="Arial" w:eastAsia="Arial" w:hAnsi="Arial" w:cs="Arial"/>
          <w:sz w:val="20"/>
          <w:szCs w:val="20"/>
        </w:rPr>
      </w:pPr>
      <w:r>
        <w:rPr>
          <w:rFonts w:ascii="Arial" w:eastAsia="Arial" w:hAnsi="Arial" w:cs="Arial"/>
        </w:rPr>
        <w:t>Cumplimiento de compromisos adquiridos en el marco del Comité Distrital y Local de Derechos Humanos.</w:t>
      </w:r>
    </w:p>
    <w:p w:rsidR="00D35DC7" w:rsidRDefault="00982954">
      <w:pPr>
        <w:numPr>
          <w:ilvl w:val="0"/>
          <w:numId w:val="1"/>
        </w:numPr>
        <w:shd w:val="clear" w:color="auto" w:fill="FFFFFF"/>
        <w:spacing w:line="360" w:lineRule="auto"/>
        <w:jc w:val="both"/>
        <w:rPr>
          <w:rFonts w:ascii="Arial" w:eastAsia="Arial" w:hAnsi="Arial" w:cs="Arial"/>
          <w:sz w:val="20"/>
          <w:szCs w:val="20"/>
        </w:rPr>
      </w:pPr>
      <w:r>
        <w:rPr>
          <w:rFonts w:ascii="Arial" w:eastAsia="Arial" w:hAnsi="Arial" w:cs="Arial"/>
        </w:rPr>
        <w:t>Participación de organizaciones de Derechos Humanos en las instancias relacionadas.</w:t>
      </w:r>
    </w:p>
    <w:p w:rsidR="00D35DC7" w:rsidRDefault="00982954">
      <w:pPr>
        <w:numPr>
          <w:ilvl w:val="0"/>
          <w:numId w:val="1"/>
        </w:numPr>
        <w:shd w:val="clear" w:color="auto" w:fill="FFFFFF"/>
        <w:spacing w:line="360" w:lineRule="auto"/>
        <w:jc w:val="both"/>
        <w:rPr>
          <w:rFonts w:ascii="Arial" w:eastAsia="Arial" w:hAnsi="Arial" w:cs="Arial"/>
          <w:sz w:val="20"/>
          <w:szCs w:val="20"/>
        </w:rPr>
      </w:pPr>
      <w:r>
        <w:rPr>
          <w:rFonts w:ascii="Arial" w:eastAsia="Arial" w:hAnsi="Arial" w:cs="Arial"/>
        </w:rPr>
        <w:t xml:space="preserve">Fortalecer y mejorar en términos de calidad y oportunidad, las medidas de prevención en el marco de las rutas de atención, al brindar medidas de alojamiento y apoyo de arrendamiento, apoyo de alimentación, apoyo de transporte, entre otras. </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Así mismo, se trabajará de la mano con terceros que garanticen de manera inmediata las medidas aprobadas en el comité de casos, que den cuenta de la demanda de atención que requieren los líderes sociales.</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Finalmente, se reitera el compromiso con la promoción y garantía de los derechos humanos de la ciudadanía y recordamos, además, la disposición para brindar la información adicional y pertinente en los casos que se requiera.</w:t>
      </w:r>
    </w:p>
    <w:p w:rsidR="00D35DC7" w:rsidRDefault="00982954">
      <w:pPr>
        <w:shd w:val="clear" w:color="auto" w:fill="FFFFFF"/>
        <w:spacing w:before="240" w:after="240" w:line="276" w:lineRule="auto"/>
        <w:jc w:val="both"/>
        <w:rPr>
          <w:rFonts w:ascii="Arial" w:eastAsia="Arial" w:hAnsi="Arial" w:cs="Arial"/>
          <w:b/>
        </w:rPr>
      </w:pPr>
      <w:r>
        <w:rPr>
          <w:rFonts w:ascii="Arial" w:eastAsia="Arial" w:hAnsi="Arial" w:cs="Arial"/>
          <w:b/>
        </w:rPr>
        <w:t>3. Lineamientos para el reconocimiento, prevención, promoción y defensa de los derechos del campesinado.</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A través de la Subdirección de Economía Rural de la Secretaría de Desarrollo Económico, en el marco de ejecución de las acciones propuestas en el Plan Distrital de Desarrollo 2024-2028 “Bogotá camina segura” a través del objetivo estratégico No. 3 “Bogotá confía en su potencial”, Artículo 10, programa No. 3.20 “Desarrollo empresarial, productividad y empleo”, desde la estrategia Somos Orgullo Campesino se fortalecerá la identidad campesina y se enfocará en la reconversión productiva de las unidades prediales-productivas y emprendimientos de economía rural, donde se potencie la diversificación de actividades económicas en el territorio rural a través del fortalecimiento productivo-empresarial. Esto incluye la estructuración de incentivos económicos para la transformación tecnológica en procesos producción y de consumo, así como la estructuración de herramientas de inclusión financiera.</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Lo anterior en el marco de la adopción de los instrumentos de planificación rural vigentes y de la búsqueda de generación de valor agregado en los productos y servicios de la ruralidad mediante el desarrollo de estrategias propias e interinstitucionales dirigidas al aumento de la productividad y la competitividad rural donde se vincularán para este plan de desarrollo 800 unidades productivas, en el marco de la diversidad económica de la Bogotá Rural y su campesinado, donde para su implementación se tienen identificadas las siguientes acciones estratégicas:</w:t>
      </w:r>
    </w:p>
    <w:p w:rsidR="00D35DC7" w:rsidRDefault="00982954">
      <w:pPr>
        <w:numPr>
          <w:ilvl w:val="0"/>
          <w:numId w:val="7"/>
        </w:numPr>
        <w:shd w:val="clear" w:color="auto" w:fill="FFFFFF"/>
        <w:spacing w:before="240" w:line="360" w:lineRule="auto"/>
        <w:jc w:val="both"/>
        <w:rPr>
          <w:rFonts w:ascii="Arial" w:eastAsia="Arial" w:hAnsi="Arial" w:cs="Arial"/>
        </w:rPr>
      </w:pPr>
      <w:r>
        <w:rPr>
          <w:rFonts w:ascii="Arial" w:eastAsia="Arial" w:hAnsi="Arial" w:cs="Arial"/>
        </w:rPr>
        <w:t>Producción agropecuaria sostenible, mediante la implementación de buenas prácticas en la producción, transformación, comercialización y consumo.</w:t>
      </w:r>
    </w:p>
    <w:p w:rsidR="00D35DC7" w:rsidRDefault="00982954">
      <w:pPr>
        <w:numPr>
          <w:ilvl w:val="0"/>
          <w:numId w:val="7"/>
        </w:numPr>
        <w:shd w:val="clear" w:color="auto" w:fill="FFFFFF"/>
        <w:spacing w:line="360" w:lineRule="auto"/>
        <w:jc w:val="both"/>
        <w:rPr>
          <w:rFonts w:ascii="Arial" w:eastAsia="Arial" w:hAnsi="Arial" w:cs="Arial"/>
        </w:rPr>
      </w:pPr>
      <w:r>
        <w:rPr>
          <w:rFonts w:ascii="Arial" w:eastAsia="Arial" w:hAnsi="Arial" w:cs="Arial"/>
        </w:rPr>
        <w:t>Transferencia de conocimiento, desarrollo de capacidades e intercambio de saberes culturales, a través de talleres y escuelas de campo.</w:t>
      </w:r>
    </w:p>
    <w:p w:rsidR="00D35DC7" w:rsidRDefault="00982954">
      <w:pPr>
        <w:numPr>
          <w:ilvl w:val="0"/>
          <w:numId w:val="7"/>
        </w:numPr>
        <w:shd w:val="clear" w:color="auto" w:fill="FFFFFF"/>
        <w:spacing w:line="360" w:lineRule="auto"/>
        <w:jc w:val="both"/>
        <w:rPr>
          <w:rFonts w:ascii="Arial" w:eastAsia="Arial" w:hAnsi="Arial" w:cs="Arial"/>
        </w:rPr>
      </w:pPr>
      <w:r>
        <w:rPr>
          <w:rFonts w:ascii="Arial" w:eastAsia="Arial" w:hAnsi="Arial" w:cs="Arial"/>
        </w:rPr>
        <w:t>Acompañamiento técnico productivo integral a los productores rurales brindando herramientas para el desarrollo de prácticas sostenibles y la generación de ingresos.</w:t>
      </w:r>
    </w:p>
    <w:p w:rsidR="00D35DC7" w:rsidRDefault="00982954">
      <w:pPr>
        <w:numPr>
          <w:ilvl w:val="0"/>
          <w:numId w:val="7"/>
        </w:numPr>
        <w:shd w:val="clear" w:color="auto" w:fill="FFFFFF"/>
        <w:spacing w:line="360" w:lineRule="auto"/>
        <w:jc w:val="both"/>
        <w:rPr>
          <w:rFonts w:ascii="Arial" w:eastAsia="Arial" w:hAnsi="Arial" w:cs="Arial"/>
        </w:rPr>
      </w:pPr>
      <w:r>
        <w:rPr>
          <w:rFonts w:ascii="Arial" w:eastAsia="Arial" w:hAnsi="Arial" w:cs="Arial"/>
        </w:rPr>
        <w:t>Entrega de insumos, materiales y/o equipo para fortalecer la agricultura campesina.</w:t>
      </w:r>
    </w:p>
    <w:p w:rsidR="00D35DC7" w:rsidRDefault="00982954">
      <w:pPr>
        <w:numPr>
          <w:ilvl w:val="0"/>
          <w:numId w:val="7"/>
        </w:numPr>
        <w:shd w:val="clear" w:color="auto" w:fill="FFFFFF"/>
        <w:spacing w:line="360" w:lineRule="auto"/>
        <w:jc w:val="both"/>
        <w:rPr>
          <w:rFonts w:ascii="Arial" w:eastAsia="Arial" w:hAnsi="Arial" w:cs="Arial"/>
        </w:rPr>
      </w:pPr>
      <w:r>
        <w:rPr>
          <w:rFonts w:ascii="Arial" w:eastAsia="Arial" w:hAnsi="Arial" w:cs="Arial"/>
        </w:rPr>
        <w:t>Desarrollo y fortalecimiento de capacidades de comercialización, asociatividad y organización de los productores campesinos.</w:t>
      </w:r>
    </w:p>
    <w:p w:rsidR="00D35DC7" w:rsidRDefault="00982954">
      <w:pPr>
        <w:numPr>
          <w:ilvl w:val="0"/>
          <w:numId w:val="7"/>
        </w:numPr>
        <w:shd w:val="clear" w:color="auto" w:fill="FFFFFF"/>
        <w:spacing w:after="240" w:line="360" w:lineRule="auto"/>
        <w:jc w:val="both"/>
        <w:rPr>
          <w:rFonts w:ascii="Arial" w:eastAsia="Arial" w:hAnsi="Arial" w:cs="Arial"/>
        </w:rPr>
      </w:pPr>
      <w:r>
        <w:rPr>
          <w:rFonts w:ascii="Arial" w:eastAsia="Arial" w:hAnsi="Arial" w:cs="Arial"/>
        </w:rPr>
        <w:t>Acceso a canales de comercialización mediante alianzas productivas que reduzcan las barreras de intermediación comercial.</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Es importante mencionar que estas intervenciones solo se realizarán en aquellos predios donde se permita el desarrollo de actividades productivas agropecuarias, de acuerdo con lo dispuesto en los instrumentos de planeación Distrital y Nacional para las áreas rurales de la ciudad (Decreto 555/2021 POT).</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Así mismo y como complemento al Fortalecimiento Productivo se desarrollarán líneas de incentivos económicos para la transformación tecnológica en procesos de producción y de consumo, la estructuración de herramientas de inclusión financiera para unidades productivas y/o emprendimientos rurales que respondan al reto de ofrecer alternativas justas de financiamiento de la actividad económica rural y de sofisticar las herramientas al servicio del campo de cara a los riesgos que plantean los fenómenos de variabilidad y cambio climático a través del diseño de seguros paramétricos climáticamente inteligentes, apalancamientos financieros, bancarización, Fintech, entre otros; donde se espera vincular para este plan de desarrollo 500 unidades productivas y/o emprendimientos rurales a mecanismos de inclusión financiera.</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Esta iniciativa está enfocada a brindar acceso fácil, seguro y justo a productos y servicios financieros formales y de calidad a las unidades productivas y/o emprendimientos rurales de Bogotá D.C, que no hayan tenido acceso a servicios financieros y no cuenten con productos financieros activos. Lo anterior, con el fin de contribuir al crecimiento y desarrollo productivo sostenible y ofrecer herramientas para que los recursos sean manejados de manera segura y eficiente, donde se desarrollaran las siguientes acciones:</w:t>
      </w:r>
    </w:p>
    <w:p w:rsidR="00D35DC7" w:rsidRDefault="00982954">
      <w:pPr>
        <w:numPr>
          <w:ilvl w:val="0"/>
          <w:numId w:val="2"/>
        </w:numPr>
        <w:shd w:val="clear" w:color="auto" w:fill="FFFFFF"/>
        <w:spacing w:before="240" w:line="360" w:lineRule="auto"/>
        <w:jc w:val="both"/>
        <w:rPr>
          <w:rFonts w:ascii="Arial" w:eastAsia="Arial" w:hAnsi="Arial" w:cs="Arial"/>
        </w:rPr>
      </w:pPr>
      <w:r>
        <w:rPr>
          <w:rFonts w:ascii="Arial" w:eastAsia="Arial" w:hAnsi="Arial" w:cs="Arial"/>
        </w:rPr>
        <w:t>Educación financiera: oferta de cursos de formación en fomento e importancia del ahorro, acceso a crédito, modalidades de crédito, sostenibilidad de un crédito, seguros y cultura de aseguramiento como método para mitigar los efectos del cambio climático, entre otros.</w:t>
      </w:r>
    </w:p>
    <w:p w:rsidR="00D35DC7" w:rsidRDefault="00982954">
      <w:pPr>
        <w:numPr>
          <w:ilvl w:val="0"/>
          <w:numId w:val="2"/>
        </w:numPr>
        <w:shd w:val="clear" w:color="auto" w:fill="FFFFFF"/>
        <w:spacing w:line="360" w:lineRule="auto"/>
        <w:jc w:val="both"/>
        <w:rPr>
          <w:rFonts w:ascii="Arial" w:eastAsia="Arial" w:hAnsi="Arial" w:cs="Arial"/>
        </w:rPr>
      </w:pPr>
      <w:r>
        <w:rPr>
          <w:rFonts w:ascii="Arial" w:eastAsia="Arial" w:hAnsi="Arial" w:cs="Arial"/>
        </w:rPr>
        <w:t>Incentivos a ahorros programados a través de diferentes herramientas financieras: cuentas de ahorro, billeteras digitales, CDT, entre otros.</w:t>
      </w:r>
    </w:p>
    <w:p w:rsidR="00D35DC7" w:rsidRDefault="00982954">
      <w:pPr>
        <w:numPr>
          <w:ilvl w:val="0"/>
          <w:numId w:val="2"/>
        </w:numPr>
        <w:shd w:val="clear" w:color="auto" w:fill="FFFFFF"/>
        <w:spacing w:line="360" w:lineRule="auto"/>
        <w:jc w:val="both"/>
        <w:rPr>
          <w:rFonts w:ascii="Arial" w:eastAsia="Arial" w:hAnsi="Arial" w:cs="Arial"/>
        </w:rPr>
      </w:pPr>
      <w:r>
        <w:rPr>
          <w:rFonts w:ascii="Arial" w:eastAsia="Arial" w:hAnsi="Arial" w:cs="Arial"/>
        </w:rPr>
        <w:t>Acceso a créditos: presentar una oferta de crédito o microcrédito agropecuario de fácil acceso para la población objetivo, con tasas y/o garantías subsidiadas.</w:t>
      </w:r>
    </w:p>
    <w:p w:rsidR="00D35DC7" w:rsidRDefault="00982954">
      <w:pPr>
        <w:numPr>
          <w:ilvl w:val="0"/>
          <w:numId w:val="2"/>
        </w:numPr>
        <w:shd w:val="clear" w:color="auto" w:fill="FFFFFF"/>
        <w:spacing w:after="240" w:line="360" w:lineRule="auto"/>
        <w:jc w:val="both"/>
        <w:rPr>
          <w:rFonts w:ascii="Arial" w:eastAsia="Arial" w:hAnsi="Arial" w:cs="Arial"/>
        </w:rPr>
      </w:pPr>
      <w:r>
        <w:rPr>
          <w:rFonts w:ascii="Arial" w:eastAsia="Arial" w:hAnsi="Arial" w:cs="Arial"/>
        </w:rPr>
        <w:t>Oferta de seguros paramétricos o climáticos donde se asegure la unidad productiva (cultivo o cosecha) frente a cambios meteorológicos inesperados que afecten la rentabilidad de la unidad. Se incentivará la adquisición de los seguros subsidiando porcentaje del costo y de esta manera garantizar la inversión del productor rural y mitigar los riesgos provocados por los efectos del cambio climático.</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Toda esta oferta de servicios está dirigida a familias de productores rurales, pequeños y medianos productores residentes de las siguientes localidades: Usme, Sumapaz, Ciudad Bolívar, Chapinero, Santa Fe y Suba, donde en el marco del criterio poblacional, se priorizará la atención a las siguientes poblaciones: personas víctimas del conflicto, personas con discapacidad y sus cuidadores, mujeres cabeza de familia, personas pertenecientes a grupos étnicos, mujeres, sector LGBTIQ+, personas mayores y jóvenes rurales.</w:t>
      </w:r>
    </w:p>
    <w:p w:rsidR="00D35DC7" w:rsidRDefault="00982954">
      <w:pPr>
        <w:shd w:val="clear" w:color="auto" w:fill="FFFFFF"/>
        <w:spacing w:before="240" w:after="240" w:line="360" w:lineRule="auto"/>
        <w:jc w:val="both"/>
        <w:rPr>
          <w:rFonts w:ascii="Arial" w:eastAsia="Arial" w:hAnsi="Arial" w:cs="Arial"/>
          <w:b/>
        </w:rPr>
      </w:pPr>
      <w:r>
        <w:rPr>
          <w:rFonts w:ascii="Arial" w:eastAsia="Arial" w:hAnsi="Arial" w:cs="Arial"/>
          <w:b/>
        </w:rPr>
        <w:t>4. Se cumple con lo dispuesto en las leyes 51 de 1981, 731 de 2002 y 1753 de 2015. Alianza interinstitucional para la protección y la garantía de los derechos de las mujeres rurales.</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Desde la Secretaría de la Mujer, se aporta con los siguientes productos asociados a la Política de ruralidad:</w:t>
      </w:r>
    </w:p>
    <w:tbl>
      <w:tblPr>
        <w:tblStyle w:val="a1"/>
        <w:tblW w:w="883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1590"/>
        <w:gridCol w:w="1095"/>
        <w:gridCol w:w="1110"/>
        <w:gridCol w:w="2205"/>
        <w:gridCol w:w="1875"/>
        <w:gridCol w:w="960"/>
      </w:tblGrid>
      <w:tr w:rsidR="00D35DC7">
        <w:trPr>
          <w:trHeight w:val="746"/>
        </w:trPr>
        <w:tc>
          <w:tcPr>
            <w:tcW w:w="159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rsidR="00D35DC7" w:rsidRDefault="00982954">
            <w:pPr>
              <w:shd w:val="clear" w:color="auto" w:fill="FFFFFF"/>
              <w:spacing w:before="240" w:after="240" w:line="276" w:lineRule="auto"/>
              <w:jc w:val="center"/>
              <w:rPr>
                <w:rFonts w:ascii="Arial" w:eastAsia="Arial" w:hAnsi="Arial" w:cs="Arial"/>
                <w:b/>
                <w:sz w:val="18"/>
                <w:szCs w:val="18"/>
              </w:rPr>
            </w:pPr>
            <w:r>
              <w:rPr>
                <w:rFonts w:ascii="Arial" w:eastAsia="Arial" w:hAnsi="Arial" w:cs="Arial"/>
                <w:b/>
                <w:sz w:val="18"/>
                <w:szCs w:val="18"/>
              </w:rPr>
              <w:t>Producto- PP Ruralidad</w:t>
            </w:r>
          </w:p>
        </w:tc>
        <w:tc>
          <w:tcPr>
            <w:tcW w:w="1095" w:type="dxa"/>
            <w:tcBorders>
              <w:top w:val="single" w:sz="6" w:space="0" w:color="000000"/>
              <w:left w:val="nil"/>
              <w:bottom w:val="single" w:sz="6" w:space="0" w:color="000000"/>
              <w:right w:val="single" w:sz="6" w:space="0" w:color="000000"/>
            </w:tcBorders>
            <w:tcMar>
              <w:top w:w="0" w:type="dxa"/>
              <w:left w:w="100" w:type="dxa"/>
              <w:bottom w:w="0" w:type="dxa"/>
              <w:right w:w="100" w:type="dxa"/>
            </w:tcMar>
          </w:tcPr>
          <w:p w:rsidR="00D35DC7" w:rsidRDefault="00982954">
            <w:pPr>
              <w:shd w:val="clear" w:color="auto" w:fill="FFFFFF"/>
              <w:spacing w:before="240" w:after="240" w:line="276" w:lineRule="auto"/>
              <w:jc w:val="center"/>
              <w:rPr>
                <w:rFonts w:ascii="Arial" w:eastAsia="Arial" w:hAnsi="Arial" w:cs="Arial"/>
                <w:b/>
                <w:sz w:val="18"/>
                <w:szCs w:val="18"/>
              </w:rPr>
            </w:pPr>
            <w:r>
              <w:rPr>
                <w:rFonts w:ascii="Arial" w:eastAsia="Arial" w:hAnsi="Arial" w:cs="Arial"/>
                <w:b/>
                <w:sz w:val="18"/>
                <w:szCs w:val="18"/>
              </w:rPr>
              <w:t>Objetivo del PDD</w:t>
            </w:r>
          </w:p>
        </w:tc>
        <w:tc>
          <w:tcPr>
            <w:tcW w:w="1110" w:type="dxa"/>
            <w:tcBorders>
              <w:top w:val="single" w:sz="6" w:space="0" w:color="000000"/>
              <w:left w:val="nil"/>
              <w:bottom w:val="single" w:sz="6" w:space="0" w:color="000000"/>
              <w:right w:val="single" w:sz="6" w:space="0" w:color="000000"/>
            </w:tcBorders>
            <w:tcMar>
              <w:top w:w="0" w:type="dxa"/>
              <w:left w:w="100" w:type="dxa"/>
              <w:bottom w:w="0" w:type="dxa"/>
              <w:right w:w="100" w:type="dxa"/>
            </w:tcMar>
          </w:tcPr>
          <w:p w:rsidR="00D35DC7" w:rsidRDefault="00982954">
            <w:pPr>
              <w:shd w:val="clear" w:color="auto" w:fill="FFFFFF"/>
              <w:spacing w:before="240" w:after="240" w:line="276" w:lineRule="auto"/>
              <w:jc w:val="center"/>
              <w:rPr>
                <w:rFonts w:ascii="Arial" w:eastAsia="Arial" w:hAnsi="Arial" w:cs="Arial"/>
                <w:b/>
                <w:sz w:val="18"/>
                <w:szCs w:val="18"/>
              </w:rPr>
            </w:pPr>
            <w:r>
              <w:rPr>
                <w:rFonts w:ascii="Arial" w:eastAsia="Arial" w:hAnsi="Arial" w:cs="Arial"/>
                <w:b/>
                <w:sz w:val="18"/>
                <w:szCs w:val="18"/>
              </w:rPr>
              <w:t>Programa</w:t>
            </w:r>
          </w:p>
        </w:tc>
        <w:tc>
          <w:tcPr>
            <w:tcW w:w="2205" w:type="dxa"/>
            <w:tcBorders>
              <w:top w:val="single" w:sz="6" w:space="0" w:color="000000"/>
              <w:left w:val="nil"/>
              <w:bottom w:val="single" w:sz="6" w:space="0" w:color="000000"/>
              <w:right w:val="single" w:sz="6" w:space="0" w:color="000000"/>
            </w:tcBorders>
            <w:tcMar>
              <w:top w:w="0" w:type="dxa"/>
              <w:left w:w="100" w:type="dxa"/>
              <w:bottom w:w="0" w:type="dxa"/>
              <w:right w:w="100" w:type="dxa"/>
            </w:tcMar>
          </w:tcPr>
          <w:p w:rsidR="00D35DC7" w:rsidRDefault="00982954">
            <w:pPr>
              <w:shd w:val="clear" w:color="auto" w:fill="FFFFFF"/>
              <w:spacing w:before="240" w:after="240" w:line="276" w:lineRule="auto"/>
              <w:jc w:val="center"/>
              <w:rPr>
                <w:rFonts w:ascii="Arial" w:eastAsia="Arial" w:hAnsi="Arial" w:cs="Arial"/>
                <w:b/>
                <w:sz w:val="18"/>
                <w:szCs w:val="18"/>
              </w:rPr>
            </w:pPr>
            <w:r>
              <w:rPr>
                <w:rFonts w:ascii="Arial" w:eastAsia="Arial" w:hAnsi="Arial" w:cs="Arial"/>
                <w:b/>
                <w:sz w:val="18"/>
                <w:szCs w:val="18"/>
              </w:rPr>
              <w:t>Estrategia</w:t>
            </w:r>
          </w:p>
        </w:tc>
        <w:tc>
          <w:tcPr>
            <w:tcW w:w="1875" w:type="dxa"/>
            <w:tcBorders>
              <w:top w:val="single" w:sz="6" w:space="0" w:color="000000"/>
              <w:left w:val="nil"/>
              <w:bottom w:val="single" w:sz="6" w:space="0" w:color="000000"/>
              <w:right w:val="single" w:sz="6" w:space="0" w:color="000000"/>
            </w:tcBorders>
            <w:tcMar>
              <w:top w:w="0" w:type="dxa"/>
              <w:left w:w="100" w:type="dxa"/>
              <w:bottom w:w="0" w:type="dxa"/>
              <w:right w:w="100" w:type="dxa"/>
            </w:tcMar>
          </w:tcPr>
          <w:p w:rsidR="00D35DC7" w:rsidRDefault="00982954">
            <w:pPr>
              <w:shd w:val="clear" w:color="auto" w:fill="FFFFFF"/>
              <w:spacing w:before="240" w:after="240" w:line="276" w:lineRule="auto"/>
              <w:jc w:val="center"/>
              <w:rPr>
                <w:rFonts w:ascii="Arial" w:eastAsia="Arial" w:hAnsi="Arial" w:cs="Arial"/>
                <w:b/>
                <w:sz w:val="18"/>
                <w:szCs w:val="18"/>
              </w:rPr>
            </w:pPr>
            <w:r>
              <w:rPr>
                <w:rFonts w:ascii="Arial" w:eastAsia="Arial" w:hAnsi="Arial" w:cs="Arial"/>
                <w:b/>
                <w:sz w:val="18"/>
                <w:szCs w:val="18"/>
              </w:rPr>
              <w:t>Meta</w:t>
            </w:r>
          </w:p>
        </w:tc>
        <w:tc>
          <w:tcPr>
            <w:tcW w:w="960" w:type="dxa"/>
            <w:tcBorders>
              <w:top w:val="single" w:sz="6" w:space="0" w:color="000000"/>
              <w:left w:val="nil"/>
              <w:bottom w:val="single" w:sz="6" w:space="0" w:color="000000"/>
              <w:right w:val="single" w:sz="6" w:space="0" w:color="000000"/>
            </w:tcBorders>
            <w:tcMar>
              <w:top w:w="0" w:type="dxa"/>
              <w:left w:w="100" w:type="dxa"/>
              <w:bottom w:w="0" w:type="dxa"/>
              <w:right w:w="100" w:type="dxa"/>
            </w:tcMar>
          </w:tcPr>
          <w:p w:rsidR="00D35DC7" w:rsidRDefault="00982954">
            <w:pPr>
              <w:shd w:val="clear" w:color="auto" w:fill="FFFFFF"/>
              <w:spacing w:before="240" w:after="240" w:line="276" w:lineRule="auto"/>
              <w:jc w:val="center"/>
              <w:rPr>
                <w:rFonts w:ascii="Arial" w:eastAsia="Arial" w:hAnsi="Arial" w:cs="Arial"/>
                <w:b/>
                <w:sz w:val="18"/>
                <w:szCs w:val="18"/>
              </w:rPr>
            </w:pPr>
            <w:r>
              <w:rPr>
                <w:rFonts w:ascii="Arial" w:eastAsia="Arial" w:hAnsi="Arial" w:cs="Arial"/>
                <w:b/>
                <w:sz w:val="18"/>
                <w:szCs w:val="18"/>
              </w:rPr>
              <w:t>Artículo PDD</w:t>
            </w:r>
          </w:p>
        </w:tc>
      </w:tr>
      <w:tr w:rsidR="00D35DC7">
        <w:trPr>
          <w:trHeight w:val="2955"/>
        </w:trPr>
        <w:tc>
          <w:tcPr>
            <w:tcW w:w="159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rsidR="00D35DC7" w:rsidRDefault="00982954">
            <w:pPr>
              <w:shd w:val="clear" w:color="auto" w:fill="FFFFFF"/>
              <w:spacing w:before="240" w:after="240" w:line="276" w:lineRule="auto"/>
              <w:jc w:val="both"/>
              <w:rPr>
                <w:rFonts w:ascii="Arial" w:eastAsia="Arial" w:hAnsi="Arial" w:cs="Arial"/>
                <w:sz w:val="18"/>
                <w:szCs w:val="18"/>
              </w:rPr>
            </w:pPr>
            <w:r>
              <w:rPr>
                <w:rFonts w:ascii="Arial" w:eastAsia="Arial" w:hAnsi="Arial" w:cs="Arial"/>
                <w:sz w:val="18"/>
                <w:szCs w:val="18"/>
              </w:rPr>
              <w:t>1.1.6 Estrategia intersectorial para el cuidado menstrual implementada en la ruralidad</w:t>
            </w:r>
          </w:p>
        </w:tc>
        <w:tc>
          <w:tcPr>
            <w:tcW w:w="1095" w:type="dxa"/>
            <w:tcBorders>
              <w:top w:val="nil"/>
              <w:left w:val="nil"/>
              <w:bottom w:val="single" w:sz="6" w:space="0" w:color="000000"/>
              <w:right w:val="single" w:sz="6" w:space="0" w:color="000000"/>
            </w:tcBorders>
            <w:tcMar>
              <w:top w:w="0" w:type="dxa"/>
              <w:left w:w="100" w:type="dxa"/>
              <w:bottom w:w="0" w:type="dxa"/>
              <w:right w:w="100" w:type="dxa"/>
            </w:tcMar>
          </w:tcPr>
          <w:p w:rsidR="00D35DC7" w:rsidRDefault="00982954">
            <w:pPr>
              <w:shd w:val="clear" w:color="auto" w:fill="FFFFFF"/>
              <w:spacing w:before="240" w:after="240" w:line="276" w:lineRule="auto"/>
              <w:jc w:val="both"/>
              <w:rPr>
                <w:rFonts w:ascii="Arial" w:eastAsia="Arial" w:hAnsi="Arial" w:cs="Arial"/>
                <w:sz w:val="18"/>
                <w:szCs w:val="18"/>
              </w:rPr>
            </w:pPr>
            <w:r>
              <w:rPr>
                <w:rFonts w:ascii="Arial" w:eastAsia="Arial" w:hAnsi="Arial" w:cs="Arial"/>
                <w:sz w:val="18"/>
                <w:szCs w:val="18"/>
              </w:rPr>
              <w:t>2. Bogotá confía en su bien-estar</w:t>
            </w:r>
          </w:p>
        </w:tc>
        <w:tc>
          <w:tcPr>
            <w:tcW w:w="1110" w:type="dxa"/>
            <w:tcBorders>
              <w:top w:val="nil"/>
              <w:left w:val="nil"/>
              <w:bottom w:val="single" w:sz="6" w:space="0" w:color="000000"/>
              <w:right w:val="single" w:sz="6" w:space="0" w:color="000000"/>
            </w:tcBorders>
            <w:tcMar>
              <w:top w:w="0" w:type="dxa"/>
              <w:left w:w="100" w:type="dxa"/>
              <w:bottom w:w="0" w:type="dxa"/>
              <w:right w:w="100" w:type="dxa"/>
            </w:tcMar>
          </w:tcPr>
          <w:p w:rsidR="00D35DC7" w:rsidRDefault="00982954">
            <w:pPr>
              <w:shd w:val="clear" w:color="auto" w:fill="FFFFFF"/>
              <w:spacing w:before="240" w:after="240" w:line="276" w:lineRule="auto"/>
              <w:jc w:val="both"/>
              <w:rPr>
                <w:rFonts w:ascii="Arial" w:eastAsia="Arial" w:hAnsi="Arial" w:cs="Arial"/>
                <w:sz w:val="18"/>
                <w:szCs w:val="18"/>
              </w:rPr>
            </w:pPr>
            <w:r>
              <w:rPr>
                <w:rFonts w:ascii="Arial" w:eastAsia="Arial" w:hAnsi="Arial" w:cs="Arial"/>
                <w:sz w:val="18"/>
                <w:szCs w:val="18"/>
              </w:rPr>
              <w:t>2.12. Bogotá cuida a su gente</w:t>
            </w:r>
          </w:p>
        </w:tc>
        <w:tc>
          <w:tcPr>
            <w:tcW w:w="2205" w:type="dxa"/>
            <w:tcBorders>
              <w:top w:val="nil"/>
              <w:left w:val="nil"/>
              <w:bottom w:val="single" w:sz="6" w:space="0" w:color="000000"/>
              <w:right w:val="single" w:sz="6" w:space="0" w:color="000000"/>
            </w:tcBorders>
            <w:tcMar>
              <w:top w:w="0" w:type="dxa"/>
              <w:left w:w="100" w:type="dxa"/>
              <w:bottom w:w="0" w:type="dxa"/>
              <w:right w:w="100" w:type="dxa"/>
            </w:tcMar>
          </w:tcPr>
          <w:p w:rsidR="00D35DC7" w:rsidRDefault="00982954">
            <w:pPr>
              <w:shd w:val="clear" w:color="auto" w:fill="FFFFFF"/>
              <w:spacing w:before="240" w:after="240" w:line="276" w:lineRule="auto"/>
              <w:jc w:val="both"/>
              <w:rPr>
                <w:rFonts w:ascii="Arial" w:eastAsia="Arial" w:hAnsi="Arial" w:cs="Arial"/>
                <w:sz w:val="18"/>
                <w:szCs w:val="18"/>
              </w:rPr>
            </w:pPr>
            <w:r>
              <w:rPr>
                <w:rFonts w:ascii="Arial" w:eastAsia="Arial" w:hAnsi="Arial" w:cs="Arial"/>
                <w:sz w:val="18"/>
                <w:szCs w:val="18"/>
              </w:rPr>
              <w:t>3.(…) Orientado a que la ciudad sea entendida como un espacio donde el derecho a la vida digna se ejerza sin distingo de condiciones. Pero, a su vez, un lugar donde cada persona</w:t>
            </w:r>
          </w:p>
          <w:p w:rsidR="00D35DC7" w:rsidRDefault="00982954">
            <w:pPr>
              <w:shd w:val="clear" w:color="auto" w:fill="FFFFFF"/>
              <w:spacing w:before="240" w:after="240" w:line="276" w:lineRule="auto"/>
              <w:jc w:val="both"/>
              <w:rPr>
                <w:rFonts w:ascii="Arial" w:eastAsia="Arial" w:hAnsi="Arial" w:cs="Arial"/>
                <w:sz w:val="18"/>
                <w:szCs w:val="18"/>
              </w:rPr>
            </w:pPr>
            <w:r>
              <w:rPr>
                <w:rFonts w:ascii="Arial" w:eastAsia="Arial" w:hAnsi="Arial" w:cs="Arial"/>
                <w:sz w:val="18"/>
                <w:szCs w:val="18"/>
              </w:rPr>
              <w:t>pueda expresarse según sus preferencias, demandas e intereses, con respeto y tolerancia por el otro, es decir, sin discriminación.</w:t>
            </w:r>
          </w:p>
        </w:tc>
        <w:tc>
          <w:tcPr>
            <w:tcW w:w="1875" w:type="dxa"/>
            <w:tcBorders>
              <w:top w:val="nil"/>
              <w:left w:val="nil"/>
              <w:bottom w:val="single" w:sz="6" w:space="0" w:color="000000"/>
              <w:right w:val="single" w:sz="6" w:space="0" w:color="000000"/>
            </w:tcBorders>
            <w:tcMar>
              <w:top w:w="0" w:type="dxa"/>
              <w:left w:w="100" w:type="dxa"/>
              <w:bottom w:w="0" w:type="dxa"/>
              <w:right w:w="100" w:type="dxa"/>
            </w:tcMar>
          </w:tcPr>
          <w:p w:rsidR="00D35DC7" w:rsidRDefault="00982954">
            <w:pPr>
              <w:shd w:val="clear" w:color="auto" w:fill="FFFFFF"/>
              <w:spacing w:before="240" w:after="240" w:line="276" w:lineRule="auto"/>
              <w:jc w:val="both"/>
              <w:rPr>
                <w:rFonts w:ascii="Arial" w:eastAsia="Arial" w:hAnsi="Arial" w:cs="Arial"/>
                <w:sz w:val="18"/>
                <w:szCs w:val="18"/>
              </w:rPr>
            </w:pPr>
            <w:r>
              <w:rPr>
                <w:rFonts w:ascii="Arial" w:eastAsia="Arial" w:hAnsi="Arial" w:cs="Arial"/>
                <w:sz w:val="18"/>
                <w:szCs w:val="18"/>
              </w:rPr>
              <w:t>Desarrollar 4 estrategias de empoderamiento para fomentar capacidades, liderazgos, participación, incidencia política y transformación de imaginarios culturales que reproducen los estereotipos de género, en los territorios urbanos y rurales</w:t>
            </w:r>
          </w:p>
        </w:tc>
        <w:tc>
          <w:tcPr>
            <w:tcW w:w="960" w:type="dxa"/>
            <w:tcBorders>
              <w:top w:val="nil"/>
              <w:left w:val="nil"/>
              <w:bottom w:val="single" w:sz="6" w:space="0" w:color="000000"/>
              <w:right w:val="single" w:sz="6" w:space="0" w:color="000000"/>
            </w:tcBorders>
            <w:tcMar>
              <w:top w:w="0" w:type="dxa"/>
              <w:left w:w="100" w:type="dxa"/>
              <w:bottom w:w="0" w:type="dxa"/>
              <w:right w:w="100" w:type="dxa"/>
            </w:tcMar>
          </w:tcPr>
          <w:p w:rsidR="00D35DC7" w:rsidRDefault="00982954">
            <w:pPr>
              <w:shd w:val="clear" w:color="auto" w:fill="FFFFFF"/>
              <w:spacing w:before="240" w:after="240" w:line="276" w:lineRule="auto"/>
              <w:jc w:val="both"/>
              <w:rPr>
                <w:rFonts w:ascii="Arial" w:eastAsia="Arial" w:hAnsi="Arial" w:cs="Arial"/>
                <w:sz w:val="18"/>
                <w:szCs w:val="18"/>
              </w:rPr>
            </w:pPr>
            <w:r>
              <w:rPr>
                <w:rFonts w:ascii="Arial" w:eastAsia="Arial" w:hAnsi="Arial" w:cs="Arial"/>
                <w:sz w:val="18"/>
                <w:szCs w:val="18"/>
              </w:rPr>
              <w:t>10</w:t>
            </w:r>
          </w:p>
        </w:tc>
      </w:tr>
      <w:tr w:rsidR="00D35DC7">
        <w:trPr>
          <w:trHeight w:val="2955"/>
        </w:trPr>
        <w:tc>
          <w:tcPr>
            <w:tcW w:w="159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rsidR="00D35DC7" w:rsidRDefault="00982954">
            <w:pPr>
              <w:shd w:val="clear" w:color="auto" w:fill="FFFFFF"/>
              <w:spacing w:before="240" w:after="240" w:line="276" w:lineRule="auto"/>
              <w:jc w:val="both"/>
              <w:rPr>
                <w:rFonts w:ascii="Arial" w:eastAsia="Arial" w:hAnsi="Arial" w:cs="Arial"/>
                <w:sz w:val="18"/>
                <w:szCs w:val="18"/>
              </w:rPr>
            </w:pPr>
            <w:r>
              <w:rPr>
                <w:rFonts w:ascii="Arial" w:eastAsia="Arial" w:hAnsi="Arial" w:cs="Arial"/>
                <w:sz w:val="18"/>
                <w:szCs w:val="18"/>
              </w:rPr>
              <w:t>1.1.7 Operación del Modelo de atención de las Casas de Igualdad de Oportunidades para las Mujeres campesinas y rurales</w:t>
            </w:r>
          </w:p>
        </w:tc>
        <w:tc>
          <w:tcPr>
            <w:tcW w:w="1095" w:type="dxa"/>
            <w:tcBorders>
              <w:top w:val="nil"/>
              <w:left w:val="nil"/>
              <w:bottom w:val="single" w:sz="6" w:space="0" w:color="000000"/>
              <w:right w:val="single" w:sz="6" w:space="0" w:color="000000"/>
            </w:tcBorders>
            <w:tcMar>
              <w:top w:w="0" w:type="dxa"/>
              <w:left w:w="100" w:type="dxa"/>
              <w:bottom w:w="0" w:type="dxa"/>
              <w:right w:w="100" w:type="dxa"/>
            </w:tcMar>
          </w:tcPr>
          <w:p w:rsidR="00D35DC7" w:rsidRDefault="00982954">
            <w:pPr>
              <w:shd w:val="clear" w:color="auto" w:fill="FFFFFF"/>
              <w:spacing w:before="240" w:after="240" w:line="276" w:lineRule="auto"/>
              <w:jc w:val="both"/>
              <w:rPr>
                <w:rFonts w:ascii="Arial" w:eastAsia="Arial" w:hAnsi="Arial" w:cs="Arial"/>
                <w:sz w:val="18"/>
                <w:szCs w:val="18"/>
              </w:rPr>
            </w:pPr>
            <w:r>
              <w:rPr>
                <w:rFonts w:ascii="Arial" w:eastAsia="Arial" w:hAnsi="Arial" w:cs="Arial"/>
                <w:sz w:val="18"/>
                <w:szCs w:val="18"/>
              </w:rPr>
              <w:t>2. Bogotá confía en su bien-estar</w:t>
            </w:r>
          </w:p>
        </w:tc>
        <w:tc>
          <w:tcPr>
            <w:tcW w:w="1110" w:type="dxa"/>
            <w:tcBorders>
              <w:top w:val="nil"/>
              <w:left w:val="nil"/>
              <w:bottom w:val="single" w:sz="6" w:space="0" w:color="000000"/>
              <w:right w:val="single" w:sz="6" w:space="0" w:color="000000"/>
            </w:tcBorders>
            <w:tcMar>
              <w:top w:w="0" w:type="dxa"/>
              <w:left w:w="100" w:type="dxa"/>
              <w:bottom w:w="0" w:type="dxa"/>
              <w:right w:w="100" w:type="dxa"/>
            </w:tcMar>
          </w:tcPr>
          <w:p w:rsidR="00D35DC7" w:rsidRDefault="00982954">
            <w:pPr>
              <w:shd w:val="clear" w:color="auto" w:fill="FFFFFF"/>
              <w:spacing w:before="240" w:after="240" w:line="276" w:lineRule="auto"/>
              <w:jc w:val="both"/>
              <w:rPr>
                <w:rFonts w:ascii="Arial" w:eastAsia="Arial" w:hAnsi="Arial" w:cs="Arial"/>
                <w:sz w:val="18"/>
                <w:szCs w:val="18"/>
              </w:rPr>
            </w:pPr>
            <w:r>
              <w:rPr>
                <w:rFonts w:ascii="Arial" w:eastAsia="Arial" w:hAnsi="Arial" w:cs="Arial"/>
                <w:sz w:val="18"/>
                <w:szCs w:val="18"/>
              </w:rPr>
              <w:t>2.12. Bogotá cuida a su gente</w:t>
            </w:r>
          </w:p>
        </w:tc>
        <w:tc>
          <w:tcPr>
            <w:tcW w:w="2205" w:type="dxa"/>
            <w:tcBorders>
              <w:top w:val="nil"/>
              <w:left w:val="nil"/>
              <w:bottom w:val="single" w:sz="6" w:space="0" w:color="000000"/>
              <w:right w:val="single" w:sz="6" w:space="0" w:color="000000"/>
            </w:tcBorders>
            <w:tcMar>
              <w:top w:w="0" w:type="dxa"/>
              <w:left w:w="100" w:type="dxa"/>
              <w:bottom w:w="0" w:type="dxa"/>
              <w:right w:w="100" w:type="dxa"/>
            </w:tcMar>
          </w:tcPr>
          <w:p w:rsidR="00D35DC7" w:rsidRDefault="00982954">
            <w:pPr>
              <w:shd w:val="clear" w:color="auto" w:fill="FFFFFF"/>
              <w:spacing w:before="240" w:after="240" w:line="276" w:lineRule="auto"/>
              <w:jc w:val="both"/>
              <w:rPr>
                <w:rFonts w:ascii="Arial" w:eastAsia="Arial" w:hAnsi="Arial" w:cs="Arial"/>
                <w:sz w:val="18"/>
                <w:szCs w:val="18"/>
              </w:rPr>
            </w:pPr>
            <w:r>
              <w:rPr>
                <w:rFonts w:ascii="Arial" w:eastAsia="Arial" w:hAnsi="Arial" w:cs="Arial"/>
                <w:sz w:val="18"/>
                <w:szCs w:val="18"/>
              </w:rPr>
              <w:t>3.(…) Orientado a que la ciudad sea entendida como un espacio donde el derecho a la vida digna se ejerza sin distingo de condiciones. Pero, a su vez, un lugar donde cada persona</w:t>
            </w:r>
          </w:p>
          <w:p w:rsidR="00D35DC7" w:rsidRDefault="00982954">
            <w:pPr>
              <w:shd w:val="clear" w:color="auto" w:fill="FFFFFF"/>
              <w:spacing w:before="240" w:after="240" w:line="276" w:lineRule="auto"/>
              <w:jc w:val="both"/>
              <w:rPr>
                <w:rFonts w:ascii="Arial" w:eastAsia="Arial" w:hAnsi="Arial" w:cs="Arial"/>
                <w:sz w:val="18"/>
                <w:szCs w:val="18"/>
              </w:rPr>
            </w:pPr>
            <w:r>
              <w:rPr>
                <w:rFonts w:ascii="Arial" w:eastAsia="Arial" w:hAnsi="Arial" w:cs="Arial"/>
                <w:sz w:val="18"/>
                <w:szCs w:val="18"/>
              </w:rPr>
              <w:t>pueda expresarse según sus preferencias, demandas e intereses, con respeto y tolerancia por el otro, es decir, sin discriminación.</w:t>
            </w:r>
          </w:p>
        </w:tc>
        <w:tc>
          <w:tcPr>
            <w:tcW w:w="1875" w:type="dxa"/>
            <w:tcBorders>
              <w:top w:val="nil"/>
              <w:left w:val="nil"/>
              <w:bottom w:val="single" w:sz="6" w:space="0" w:color="000000"/>
              <w:right w:val="single" w:sz="6" w:space="0" w:color="000000"/>
            </w:tcBorders>
            <w:tcMar>
              <w:top w:w="0" w:type="dxa"/>
              <w:left w:w="100" w:type="dxa"/>
              <w:bottom w:w="0" w:type="dxa"/>
              <w:right w:w="100" w:type="dxa"/>
            </w:tcMar>
          </w:tcPr>
          <w:p w:rsidR="00D35DC7" w:rsidRDefault="00982954">
            <w:pPr>
              <w:shd w:val="clear" w:color="auto" w:fill="FFFFFF"/>
              <w:spacing w:before="240" w:after="240" w:line="276" w:lineRule="auto"/>
              <w:jc w:val="both"/>
              <w:rPr>
                <w:rFonts w:ascii="Arial" w:eastAsia="Arial" w:hAnsi="Arial" w:cs="Arial"/>
                <w:sz w:val="18"/>
                <w:szCs w:val="18"/>
              </w:rPr>
            </w:pPr>
            <w:r>
              <w:rPr>
                <w:rFonts w:ascii="Arial" w:eastAsia="Arial" w:hAnsi="Arial" w:cs="Arial"/>
                <w:sz w:val="18"/>
                <w:szCs w:val="18"/>
              </w:rPr>
              <w:t>Mantener operando el modelo de Casas de igualdad de oportunidades para las mujeres en las 20 localidades, fortaleciendo la atención en los territorios urbanos y rurales.</w:t>
            </w:r>
          </w:p>
        </w:tc>
        <w:tc>
          <w:tcPr>
            <w:tcW w:w="960" w:type="dxa"/>
            <w:tcBorders>
              <w:top w:val="nil"/>
              <w:left w:val="nil"/>
              <w:bottom w:val="single" w:sz="6" w:space="0" w:color="000000"/>
              <w:right w:val="single" w:sz="6" w:space="0" w:color="000000"/>
            </w:tcBorders>
            <w:tcMar>
              <w:top w:w="0" w:type="dxa"/>
              <w:left w:w="100" w:type="dxa"/>
              <w:bottom w:w="0" w:type="dxa"/>
              <w:right w:w="100" w:type="dxa"/>
            </w:tcMar>
          </w:tcPr>
          <w:p w:rsidR="00D35DC7" w:rsidRDefault="00982954">
            <w:pPr>
              <w:shd w:val="clear" w:color="auto" w:fill="FFFFFF"/>
              <w:spacing w:before="240" w:after="240" w:line="276" w:lineRule="auto"/>
              <w:jc w:val="both"/>
              <w:rPr>
                <w:rFonts w:ascii="Arial" w:eastAsia="Arial" w:hAnsi="Arial" w:cs="Arial"/>
                <w:sz w:val="18"/>
                <w:szCs w:val="18"/>
              </w:rPr>
            </w:pPr>
            <w:r>
              <w:rPr>
                <w:rFonts w:ascii="Arial" w:eastAsia="Arial" w:hAnsi="Arial" w:cs="Arial"/>
                <w:sz w:val="18"/>
                <w:szCs w:val="18"/>
              </w:rPr>
              <w:t>10</w:t>
            </w:r>
          </w:p>
        </w:tc>
      </w:tr>
      <w:tr w:rsidR="00D35DC7">
        <w:trPr>
          <w:trHeight w:val="3780"/>
        </w:trPr>
        <w:tc>
          <w:tcPr>
            <w:tcW w:w="159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rsidR="00D35DC7" w:rsidRDefault="00982954">
            <w:pPr>
              <w:shd w:val="clear" w:color="auto" w:fill="FFFFFF"/>
              <w:spacing w:before="240" w:after="240" w:line="276" w:lineRule="auto"/>
              <w:jc w:val="both"/>
              <w:rPr>
                <w:rFonts w:ascii="Arial" w:eastAsia="Arial" w:hAnsi="Arial" w:cs="Arial"/>
                <w:sz w:val="18"/>
                <w:szCs w:val="18"/>
              </w:rPr>
            </w:pPr>
            <w:r>
              <w:rPr>
                <w:rFonts w:ascii="Arial" w:eastAsia="Arial" w:hAnsi="Arial" w:cs="Arial"/>
                <w:sz w:val="18"/>
                <w:szCs w:val="18"/>
              </w:rPr>
              <w:t>1.1.8 Estudios producidos por el OMEG sobre la situación de derechos de las mujeres campesinas y rurales con enfoques de género y diferencial para la toma de decisiones</w:t>
            </w:r>
          </w:p>
        </w:tc>
        <w:tc>
          <w:tcPr>
            <w:tcW w:w="1095" w:type="dxa"/>
            <w:tcBorders>
              <w:top w:val="nil"/>
              <w:left w:val="nil"/>
              <w:bottom w:val="single" w:sz="6" w:space="0" w:color="000000"/>
              <w:right w:val="single" w:sz="6" w:space="0" w:color="000000"/>
            </w:tcBorders>
            <w:tcMar>
              <w:top w:w="0" w:type="dxa"/>
              <w:left w:w="100" w:type="dxa"/>
              <w:bottom w:w="0" w:type="dxa"/>
              <w:right w:w="100" w:type="dxa"/>
            </w:tcMar>
          </w:tcPr>
          <w:p w:rsidR="00D35DC7" w:rsidRDefault="00982954">
            <w:pPr>
              <w:shd w:val="clear" w:color="auto" w:fill="FFFFFF"/>
              <w:spacing w:before="240" w:after="240" w:line="276" w:lineRule="auto"/>
              <w:jc w:val="both"/>
              <w:rPr>
                <w:rFonts w:ascii="Arial" w:eastAsia="Arial" w:hAnsi="Arial" w:cs="Arial"/>
                <w:sz w:val="18"/>
                <w:szCs w:val="18"/>
              </w:rPr>
            </w:pPr>
            <w:r>
              <w:rPr>
                <w:rFonts w:ascii="Arial" w:eastAsia="Arial" w:hAnsi="Arial" w:cs="Arial"/>
                <w:sz w:val="18"/>
                <w:szCs w:val="18"/>
              </w:rPr>
              <w:t>3. Bogotá confía en su potencial</w:t>
            </w:r>
          </w:p>
        </w:tc>
        <w:tc>
          <w:tcPr>
            <w:tcW w:w="1110" w:type="dxa"/>
            <w:tcBorders>
              <w:top w:val="nil"/>
              <w:left w:val="nil"/>
              <w:bottom w:val="single" w:sz="6" w:space="0" w:color="000000"/>
              <w:right w:val="single" w:sz="6" w:space="0" w:color="000000"/>
            </w:tcBorders>
            <w:tcMar>
              <w:top w:w="0" w:type="dxa"/>
              <w:left w:w="100" w:type="dxa"/>
              <w:bottom w:w="0" w:type="dxa"/>
              <w:right w:w="100" w:type="dxa"/>
            </w:tcMar>
          </w:tcPr>
          <w:p w:rsidR="00D35DC7" w:rsidRDefault="00982954">
            <w:pPr>
              <w:shd w:val="clear" w:color="auto" w:fill="FFFFFF"/>
              <w:spacing w:before="240" w:after="240" w:line="276" w:lineRule="auto"/>
              <w:jc w:val="both"/>
              <w:rPr>
                <w:rFonts w:ascii="Arial" w:eastAsia="Arial" w:hAnsi="Arial" w:cs="Arial"/>
                <w:sz w:val="18"/>
                <w:szCs w:val="18"/>
              </w:rPr>
            </w:pPr>
            <w:r>
              <w:rPr>
                <w:rFonts w:ascii="Arial" w:eastAsia="Arial" w:hAnsi="Arial" w:cs="Arial"/>
                <w:sz w:val="18"/>
                <w:szCs w:val="18"/>
              </w:rPr>
              <w:t>3.18. Ciencia, tecnología e innovación-CTel para desarrollar nuestro potencial y promover el de nuestros vecinos regionales</w:t>
            </w:r>
          </w:p>
        </w:tc>
        <w:tc>
          <w:tcPr>
            <w:tcW w:w="2205" w:type="dxa"/>
            <w:tcBorders>
              <w:top w:val="nil"/>
              <w:left w:val="nil"/>
              <w:bottom w:val="single" w:sz="6" w:space="0" w:color="000000"/>
              <w:right w:val="single" w:sz="6" w:space="0" w:color="000000"/>
            </w:tcBorders>
            <w:tcMar>
              <w:top w:w="0" w:type="dxa"/>
              <w:left w:w="100" w:type="dxa"/>
              <w:bottom w:w="0" w:type="dxa"/>
              <w:right w:w="100" w:type="dxa"/>
            </w:tcMar>
          </w:tcPr>
          <w:p w:rsidR="00D35DC7" w:rsidRDefault="00982954">
            <w:pPr>
              <w:shd w:val="clear" w:color="auto" w:fill="FFFFFF"/>
              <w:spacing w:before="240" w:after="240" w:line="276" w:lineRule="auto"/>
              <w:jc w:val="both"/>
              <w:rPr>
                <w:rFonts w:ascii="Arial" w:eastAsia="Arial" w:hAnsi="Arial" w:cs="Arial"/>
                <w:sz w:val="18"/>
                <w:szCs w:val="18"/>
              </w:rPr>
            </w:pPr>
            <w:r>
              <w:rPr>
                <w:rFonts w:ascii="Arial" w:eastAsia="Arial" w:hAnsi="Arial" w:cs="Arial"/>
                <w:sz w:val="18"/>
                <w:szCs w:val="18"/>
              </w:rPr>
              <w:t>2. Transformación digital y de ciencia e innovación pública, que se convierta en la plataforma sobre la cual la ciudad siga siendo el motor de la productividad y generación de conocimiento del país y se proyecte como una de las ciudades más competitivas de la región</w:t>
            </w:r>
          </w:p>
        </w:tc>
        <w:tc>
          <w:tcPr>
            <w:tcW w:w="1875" w:type="dxa"/>
            <w:tcBorders>
              <w:top w:val="nil"/>
              <w:left w:val="nil"/>
              <w:bottom w:val="single" w:sz="6" w:space="0" w:color="000000"/>
              <w:right w:val="single" w:sz="6" w:space="0" w:color="000000"/>
            </w:tcBorders>
            <w:tcMar>
              <w:top w:w="0" w:type="dxa"/>
              <w:left w:w="100" w:type="dxa"/>
              <w:bottom w:w="0" w:type="dxa"/>
              <w:right w:w="100" w:type="dxa"/>
            </w:tcMar>
          </w:tcPr>
          <w:p w:rsidR="00D35DC7" w:rsidRDefault="00982954">
            <w:pPr>
              <w:shd w:val="clear" w:color="auto" w:fill="FFFFFF"/>
              <w:spacing w:before="240" w:after="240" w:line="276" w:lineRule="auto"/>
              <w:jc w:val="both"/>
              <w:rPr>
                <w:rFonts w:ascii="Arial" w:eastAsia="Arial" w:hAnsi="Arial" w:cs="Arial"/>
                <w:sz w:val="18"/>
                <w:szCs w:val="18"/>
              </w:rPr>
            </w:pPr>
            <w:r>
              <w:rPr>
                <w:rFonts w:ascii="Arial" w:eastAsia="Arial" w:hAnsi="Arial" w:cs="Arial"/>
                <w:sz w:val="18"/>
                <w:szCs w:val="18"/>
              </w:rPr>
              <w:t>Mantener en 16 la producción de estudios y/o investigaciones del Observatorio de Mujeres y Equidad de Género - OMEG que den cuenta de la situación de derechos de las mujeres con datos diversificados para la toma de decisiones.</w:t>
            </w:r>
          </w:p>
          <w:p w:rsidR="00D35DC7" w:rsidRDefault="00982954">
            <w:pPr>
              <w:shd w:val="clear" w:color="auto" w:fill="FFFFFF"/>
              <w:spacing w:before="240" w:after="240" w:line="276" w:lineRule="auto"/>
              <w:jc w:val="both"/>
              <w:rPr>
                <w:rFonts w:ascii="Arial" w:eastAsia="Arial" w:hAnsi="Arial" w:cs="Arial"/>
                <w:sz w:val="18"/>
                <w:szCs w:val="18"/>
              </w:rPr>
            </w:pPr>
            <w:r>
              <w:rPr>
                <w:rFonts w:ascii="Arial" w:eastAsia="Arial" w:hAnsi="Arial" w:cs="Arial"/>
                <w:sz w:val="18"/>
                <w:szCs w:val="18"/>
              </w:rPr>
              <w:t xml:space="preserve"> </w:t>
            </w:r>
          </w:p>
        </w:tc>
        <w:tc>
          <w:tcPr>
            <w:tcW w:w="960" w:type="dxa"/>
            <w:tcBorders>
              <w:top w:val="nil"/>
              <w:left w:val="nil"/>
              <w:bottom w:val="single" w:sz="6" w:space="0" w:color="000000"/>
              <w:right w:val="single" w:sz="6" w:space="0" w:color="000000"/>
            </w:tcBorders>
            <w:tcMar>
              <w:top w:w="0" w:type="dxa"/>
              <w:left w:w="100" w:type="dxa"/>
              <w:bottom w:w="0" w:type="dxa"/>
              <w:right w:w="100" w:type="dxa"/>
            </w:tcMar>
          </w:tcPr>
          <w:p w:rsidR="00D35DC7" w:rsidRDefault="00982954">
            <w:pPr>
              <w:shd w:val="clear" w:color="auto" w:fill="FFFFFF"/>
              <w:spacing w:before="240" w:after="240" w:line="276" w:lineRule="auto"/>
              <w:jc w:val="both"/>
              <w:rPr>
                <w:rFonts w:ascii="Arial" w:eastAsia="Arial" w:hAnsi="Arial" w:cs="Arial"/>
                <w:sz w:val="18"/>
                <w:szCs w:val="18"/>
              </w:rPr>
            </w:pPr>
            <w:r>
              <w:rPr>
                <w:rFonts w:ascii="Arial" w:eastAsia="Arial" w:hAnsi="Arial" w:cs="Arial"/>
                <w:sz w:val="18"/>
                <w:szCs w:val="18"/>
              </w:rPr>
              <w:t>12</w:t>
            </w:r>
          </w:p>
        </w:tc>
      </w:tr>
      <w:tr w:rsidR="00D35DC7">
        <w:trPr>
          <w:trHeight w:val="1590"/>
        </w:trPr>
        <w:tc>
          <w:tcPr>
            <w:tcW w:w="159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rsidR="00D35DC7" w:rsidRDefault="00982954">
            <w:pPr>
              <w:shd w:val="clear" w:color="auto" w:fill="FFFFFF"/>
              <w:spacing w:before="240" w:after="240" w:line="276" w:lineRule="auto"/>
              <w:jc w:val="both"/>
              <w:rPr>
                <w:rFonts w:ascii="Arial" w:eastAsia="Arial" w:hAnsi="Arial" w:cs="Arial"/>
                <w:sz w:val="18"/>
                <w:szCs w:val="18"/>
              </w:rPr>
            </w:pPr>
            <w:r>
              <w:rPr>
                <w:rFonts w:ascii="Arial" w:eastAsia="Arial" w:hAnsi="Arial" w:cs="Arial"/>
                <w:sz w:val="18"/>
                <w:szCs w:val="18"/>
              </w:rPr>
              <w:t>1.1.9 Estrategia para la implementación de unidades móviles en la ruralidad</w:t>
            </w:r>
          </w:p>
        </w:tc>
        <w:tc>
          <w:tcPr>
            <w:tcW w:w="1095" w:type="dxa"/>
            <w:tcBorders>
              <w:top w:val="nil"/>
              <w:left w:val="nil"/>
              <w:bottom w:val="single" w:sz="6" w:space="0" w:color="000000"/>
              <w:right w:val="single" w:sz="6" w:space="0" w:color="000000"/>
            </w:tcBorders>
            <w:tcMar>
              <w:top w:w="0" w:type="dxa"/>
              <w:left w:w="100" w:type="dxa"/>
              <w:bottom w:w="0" w:type="dxa"/>
              <w:right w:w="100" w:type="dxa"/>
            </w:tcMar>
          </w:tcPr>
          <w:p w:rsidR="00D35DC7" w:rsidRDefault="00982954">
            <w:pPr>
              <w:shd w:val="clear" w:color="auto" w:fill="FFFFFF"/>
              <w:spacing w:before="240" w:after="240" w:line="276" w:lineRule="auto"/>
              <w:jc w:val="both"/>
              <w:rPr>
                <w:rFonts w:ascii="Arial" w:eastAsia="Arial" w:hAnsi="Arial" w:cs="Arial"/>
                <w:sz w:val="18"/>
                <w:szCs w:val="18"/>
              </w:rPr>
            </w:pPr>
            <w:r>
              <w:rPr>
                <w:rFonts w:ascii="Arial" w:eastAsia="Arial" w:hAnsi="Arial" w:cs="Arial"/>
                <w:sz w:val="18"/>
                <w:szCs w:val="18"/>
              </w:rPr>
              <w:t>1. Bogotá avanza en su seguridad</w:t>
            </w:r>
          </w:p>
        </w:tc>
        <w:tc>
          <w:tcPr>
            <w:tcW w:w="1110" w:type="dxa"/>
            <w:tcBorders>
              <w:top w:val="nil"/>
              <w:left w:val="nil"/>
              <w:bottom w:val="single" w:sz="6" w:space="0" w:color="000000"/>
              <w:right w:val="single" w:sz="6" w:space="0" w:color="000000"/>
            </w:tcBorders>
            <w:tcMar>
              <w:top w:w="0" w:type="dxa"/>
              <w:left w:w="100" w:type="dxa"/>
              <w:bottom w:w="0" w:type="dxa"/>
              <w:right w:w="100" w:type="dxa"/>
            </w:tcMar>
          </w:tcPr>
          <w:p w:rsidR="00D35DC7" w:rsidRDefault="00982954">
            <w:pPr>
              <w:shd w:val="clear" w:color="auto" w:fill="FFFFFF"/>
              <w:spacing w:before="240" w:after="240" w:line="276" w:lineRule="auto"/>
              <w:jc w:val="both"/>
              <w:rPr>
                <w:rFonts w:ascii="Arial" w:eastAsia="Arial" w:hAnsi="Arial" w:cs="Arial"/>
                <w:sz w:val="18"/>
                <w:szCs w:val="18"/>
              </w:rPr>
            </w:pPr>
            <w:r>
              <w:rPr>
                <w:rFonts w:ascii="Arial" w:eastAsia="Arial" w:hAnsi="Arial" w:cs="Arial"/>
                <w:sz w:val="18"/>
                <w:szCs w:val="18"/>
              </w:rPr>
              <w:t>1.02. Cero tolerancias a las violencias contra las mujeres y basadas en género</w:t>
            </w:r>
          </w:p>
        </w:tc>
        <w:tc>
          <w:tcPr>
            <w:tcW w:w="2205" w:type="dxa"/>
            <w:tcBorders>
              <w:top w:val="nil"/>
              <w:left w:val="nil"/>
              <w:bottom w:val="single" w:sz="6" w:space="0" w:color="000000"/>
              <w:right w:val="single" w:sz="6" w:space="0" w:color="000000"/>
            </w:tcBorders>
            <w:tcMar>
              <w:top w:w="0" w:type="dxa"/>
              <w:left w:w="100" w:type="dxa"/>
              <w:bottom w:w="0" w:type="dxa"/>
              <w:right w:w="100" w:type="dxa"/>
            </w:tcMar>
          </w:tcPr>
          <w:p w:rsidR="00D35DC7" w:rsidRDefault="00982954">
            <w:pPr>
              <w:shd w:val="clear" w:color="auto" w:fill="FFFFFF"/>
              <w:spacing w:before="240" w:after="240" w:line="276" w:lineRule="auto"/>
              <w:jc w:val="both"/>
              <w:rPr>
                <w:rFonts w:ascii="Arial" w:eastAsia="Arial" w:hAnsi="Arial" w:cs="Arial"/>
                <w:sz w:val="18"/>
                <w:szCs w:val="18"/>
              </w:rPr>
            </w:pPr>
            <w:r>
              <w:rPr>
                <w:rFonts w:ascii="Arial" w:eastAsia="Arial" w:hAnsi="Arial" w:cs="Arial"/>
                <w:sz w:val="18"/>
                <w:szCs w:val="18"/>
              </w:rPr>
              <w:t>3. Garantizar espacios públicos seguros y en mejores condiciones.</w:t>
            </w:r>
          </w:p>
        </w:tc>
        <w:tc>
          <w:tcPr>
            <w:tcW w:w="1875" w:type="dxa"/>
            <w:tcBorders>
              <w:top w:val="nil"/>
              <w:left w:val="nil"/>
              <w:bottom w:val="single" w:sz="6" w:space="0" w:color="000000"/>
              <w:right w:val="single" w:sz="6" w:space="0" w:color="000000"/>
            </w:tcBorders>
            <w:tcMar>
              <w:top w:w="0" w:type="dxa"/>
              <w:left w:w="100" w:type="dxa"/>
              <w:bottom w:w="0" w:type="dxa"/>
              <w:right w:w="100" w:type="dxa"/>
            </w:tcMar>
          </w:tcPr>
          <w:p w:rsidR="00D35DC7" w:rsidRDefault="00982954">
            <w:pPr>
              <w:shd w:val="clear" w:color="auto" w:fill="FFFFFF"/>
              <w:spacing w:before="240" w:after="240" w:line="276" w:lineRule="auto"/>
              <w:jc w:val="both"/>
              <w:rPr>
                <w:rFonts w:ascii="Arial" w:eastAsia="Arial" w:hAnsi="Arial" w:cs="Arial"/>
                <w:sz w:val="18"/>
                <w:szCs w:val="18"/>
              </w:rPr>
            </w:pPr>
            <w:r>
              <w:rPr>
                <w:rFonts w:ascii="Arial" w:eastAsia="Arial" w:hAnsi="Arial" w:cs="Arial"/>
                <w:sz w:val="18"/>
                <w:szCs w:val="18"/>
              </w:rPr>
              <w:t>Aumentar a 2 unidades de operación, una física y una móvil, la estrategia Casa de Todas</w:t>
            </w:r>
          </w:p>
        </w:tc>
        <w:tc>
          <w:tcPr>
            <w:tcW w:w="960" w:type="dxa"/>
            <w:tcBorders>
              <w:top w:val="nil"/>
              <w:left w:val="nil"/>
              <w:bottom w:val="single" w:sz="6" w:space="0" w:color="000000"/>
              <w:right w:val="single" w:sz="6" w:space="0" w:color="000000"/>
            </w:tcBorders>
            <w:tcMar>
              <w:top w:w="0" w:type="dxa"/>
              <w:left w:w="100" w:type="dxa"/>
              <w:bottom w:w="0" w:type="dxa"/>
              <w:right w:w="100" w:type="dxa"/>
            </w:tcMar>
          </w:tcPr>
          <w:p w:rsidR="00D35DC7" w:rsidRDefault="00982954">
            <w:pPr>
              <w:shd w:val="clear" w:color="auto" w:fill="FFFFFF"/>
              <w:spacing w:before="240" w:after="240" w:line="276" w:lineRule="auto"/>
              <w:jc w:val="both"/>
              <w:rPr>
                <w:rFonts w:ascii="Arial" w:eastAsia="Arial" w:hAnsi="Arial" w:cs="Arial"/>
                <w:sz w:val="18"/>
                <w:szCs w:val="18"/>
              </w:rPr>
            </w:pPr>
            <w:r>
              <w:rPr>
                <w:rFonts w:ascii="Arial" w:eastAsia="Arial" w:hAnsi="Arial" w:cs="Arial"/>
                <w:sz w:val="18"/>
                <w:szCs w:val="18"/>
              </w:rPr>
              <w:t>8</w:t>
            </w:r>
          </w:p>
        </w:tc>
      </w:tr>
    </w:tbl>
    <w:p w:rsidR="00D35DC7" w:rsidRDefault="00982954">
      <w:pPr>
        <w:shd w:val="clear" w:color="auto" w:fill="FFFFFF"/>
        <w:spacing w:before="240" w:after="240" w:line="276" w:lineRule="auto"/>
        <w:jc w:val="both"/>
        <w:rPr>
          <w:rFonts w:ascii="Arial" w:eastAsia="Arial" w:hAnsi="Arial" w:cs="Arial"/>
          <w:b/>
        </w:rPr>
      </w:pPr>
      <w:r>
        <w:rPr>
          <w:rFonts w:ascii="Arial" w:eastAsia="Arial" w:hAnsi="Arial" w:cs="Arial"/>
          <w:b/>
        </w:rPr>
        <w:t>5. Gestión de los Servicios Públicos Domiciliarios en materia de estratificación, subsidios y manejo presupuestal, en cumplimiento del artículo 5 de la Ley 142 de 1994.</w:t>
      </w:r>
    </w:p>
    <w:p w:rsidR="00D35DC7" w:rsidRDefault="00982954">
      <w:pPr>
        <w:shd w:val="clear" w:color="auto" w:fill="FFFFFF"/>
        <w:spacing w:before="240" w:after="240" w:line="276" w:lineRule="auto"/>
        <w:jc w:val="both"/>
        <w:rPr>
          <w:rFonts w:ascii="Arial" w:eastAsia="Arial" w:hAnsi="Arial" w:cs="Arial"/>
        </w:rPr>
      </w:pPr>
      <w:r>
        <w:rPr>
          <w:rFonts w:ascii="Arial" w:eastAsia="Arial" w:hAnsi="Arial" w:cs="Arial"/>
        </w:rPr>
        <w:t>En respuesta a la solicitud de la inclusión de la Gestión de los Servicios Públicos Domiciliarios en materia de estratificación, subsidios y manejo presupuestal, en cumplimiento del artículo 5 de la Ley 142 de 1994, el proyecto de acuerdo Plan de Desarrollo mantiene las condiciones de operación del Fondo de Solidaridad y Redistribución definidas en el artículo 40 del Acuerdo 761 de 2020:</w:t>
      </w:r>
    </w:p>
    <w:p w:rsidR="00D35DC7" w:rsidRDefault="00982954">
      <w:pPr>
        <w:shd w:val="clear" w:color="auto" w:fill="FFFFFF"/>
        <w:spacing w:before="240" w:after="240" w:line="276" w:lineRule="auto"/>
        <w:jc w:val="both"/>
        <w:rPr>
          <w:rFonts w:ascii="Arial" w:eastAsia="Arial" w:hAnsi="Arial" w:cs="Arial"/>
        </w:rPr>
      </w:pPr>
      <w:r>
        <w:rPr>
          <w:rFonts w:ascii="Arial" w:eastAsia="Arial" w:hAnsi="Arial" w:cs="Arial"/>
        </w:rPr>
        <w:t>Artículo 40. Fondo de Solidaridad y Redistribución del ingreso: El Fondo de Solidaridad y Redistribución del Ingreso (FSRI), creado mediante al artículo 1 del Acuerdo Distrital 31 de 2001, será trasladado a la Secretaría Distrital del Hábitat a partir de la vigencia fiscal 2021, para dar cumplimiento a lo establecido en el artículo 368 de la Constitución Nacional y artículo 89 y 99 de la Ley 142 de 1994 o a las normas que los modifiquen o deroguen.</w:t>
      </w:r>
    </w:p>
    <w:p w:rsidR="00D35DC7" w:rsidRDefault="00982954">
      <w:pPr>
        <w:shd w:val="clear" w:color="auto" w:fill="FFFFFF"/>
        <w:spacing w:before="240" w:after="240" w:line="276" w:lineRule="auto"/>
        <w:jc w:val="both"/>
        <w:rPr>
          <w:rFonts w:ascii="Arial" w:eastAsia="Arial" w:hAnsi="Arial" w:cs="Arial"/>
        </w:rPr>
      </w:pPr>
      <w:r>
        <w:rPr>
          <w:rFonts w:ascii="Arial" w:eastAsia="Arial" w:hAnsi="Arial" w:cs="Arial"/>
        </w:rPr>
        <w:t>De conformidad con lo anterior, la Secretaría Distrital del Hábitat, a partir de la vigencia fiscal 2021, asumirá las funciones para el cumplimiento de los objetivos del fondo, entre ellas las que venía ejerciendo la Secretaría Distrital de Hacienda en relación con las normas que regulan este Fondo, para lo cual se deberán realizar los ajustes administrativos y presupuestales a que haya lugar.</w:t>
      </w:r>
    </w:p>
    <w:p w:rsidR="00D35DC7" w:rsidRDefault="00982954">
      <w:pPr>
        <w:shd w:val="clear" w:color="auto" w:fill="FFFFFF"/>
        <w:spacing w:before="240" w:after="240" w:line="276" w:lineRule="auto"/>
        <w:jc w:val="both"/>
        <w:rPr>
          <w:rFonts w:ascii="Arial" w:eastAsia="Arial" w:hAnsi="Arial" w:cs="Arial"/>
        </w:rPr>
      </w:pPr>
      <w:r>
        <w:rPr>
          <w:rFonts w:ascii="Arial" w:eastAsia="Arial" w:hAnsi="Arial" w:cs="Arial"/>
        </w:rPr>
        <w:t>En complemento a esto, el proyecto de acuerdo en el artículo 84, propone modificar el parágrafo del artículo en el siguiente sentido:</w:t>
      </w:r>
    </w:p>
    <w:p w:rsidR="00D35DC7" w:rsidRDefault="00982954">
      <w:pPr>
        <w:shd w:val="clear" w:color="auto" w:fill="FFFFFF"/>
        <w:spacing w:before="240" w:after="240" w:line="276" w:lineRule="auto"/>
        <w:jc w:val="both"/>
        <w:rPr>
          <w:rFonts w:ascii="Arial" w:eastAsia="Arial" w:hAnsi="Arial" w:cs="Arial"/>
        </w:rPr>
      </w:pPr>
      <w:r>
        <w:rPr>
          <w:rFonts w:ascii="Arial" w:eastAsia="Arial" w:hAnsi="Arial" w:cs="Arial"/>
        </w:rPr>
        <w:t>“Parágrafo. La Secretaría Distrital de Hábitat revisará los requisitos legales de las entidades prestadoras de servicios públicos y de los actos administrativos que se deben suscribir para el giro de recursos de subsidios con cargo y a favor del Fondo de Solidaridad y Redistribución de Ingresos”.</w:t>
      </w:r>
    </w:p>
    <w:p w:rsidR="00D35DC7" w:rsidRDefault="00982954">
      <w:pPr>
        <w:shd w:val="clear" w:color="auto" w:fill="FFFFFF"/>
        <w:spacing w:before="240" w:after="240" w:line="276" w:lineRule="auto"/>
        <w:jc w:val="both"/>
        <w:rPr>
          <w:rFonts w:ascii="Arial" w:eastAsia="Arial" w:hAnsi="Arial" w:cs="Arial"/>
        </w:rPr>
      </w:pPr>
      <w:r>
        <w:rPr>
          <w:rFonts w:ascii="Arial" w:eastAsia="Arial" w:hAnsi="Arial" w:cs="Arial"/>
        </w:rPr>
        <w:t>De igual manera, la Secretaría Distrital de Hábitat solicitará a las entidades prestadoras que presenten superávit, la información a que haya lugar para realizar el respectivo control sobre los recursos girados a la Dirección Distrital de Tesorería, por este concepto.”</w:t>
      </w:r>
    </w:p>
    <w:p w:rsidR="00D35DC7" w:rsidRDefault="00982954">
      <w:pPr>
        <w:shd w:val="clear" w:color="auto" w:fill="FFFFFF"/>
        <w:spacing w:before="240" w:after="240" w:line="276" w:lineRule="auto"/>
        <w:jc w:val="both"/>
        <w:rPr>
          <w:rFonts w:ascii="Arial" w:eastAsia="Arial" w:hAnsi="Arial" w:cs="Arial"/>
        </w:rPr>
      </w:pPr>
      <w:r>
        <w:rPr>
          <w:rFonts w:ascii="Arial" w:eastAsia="Arial" w:hAnsi="Arial" w:cs="Arial"/>
        </w:rPr>
        <w:t>De acuerdo con lo anterior, la Gestión de los Servicios Públicos Domiciliarios en materia de estratificación, subsidios y manejo presupuestal se mantiene en la responsabilidad de la Secretaría Distrital del Hábitat como se ha venido desarrollando hasta el momento, dando cumplimiento a lo establecido en el artículo 368 de la Constitución Nacional y artículo 89 y 99 de la Ley 142 de 1994.</w:t>
      </w:r>
    </w:p>
    <w:p w:rsidR="00D35DC7" w:rsidRDefault="00982954">
      <w:pPr>
        <w:shd w:val="clear" w:color="auto" w:fill="FFFFFF"/>
        <w:spacing w:before="240" w:after="240" w:line="276" w:lineRule="auto"/>
        <w:jc w:val="both"/>
        <w:rPr>
          <w:rFonts w:ascii="Arial" w:eastAsia="Arial" w:hAnsi="Arial" w:cs="Arial"/>
        </w:rPr>
      </w:pPr>
      <w:r>
        <w:rPr>
          <w:rFonts w:ascii="Arial" w:eastAsia="Arial" w:hAnsi="Arial" w:cs="Arial"/>
        </w:rPr>
        <w:t>6. Deberes en materia de protección especial al patrimonio cultural inmaterial. - Deberes en materia de protección, conservación y rehabilitación de patrimonio cultural construido (bienes de interés cultural inmueble individual, centros históricos, cascos o sectores antiguos y los conjuntos urbanos).</w:t>
      </w:r>
    </w:p>
    <w:p w:rsidR="00D35DC7" w:rsidRDefault="00D35DC7">
      <w:pPr>
        <w:shd w:val="clear" w:color="auto" w:fill="FFFFFF"/>
        <w:spacing w:before="240" w:after="240" w:line="276" w:lineRule="auto"/>
        <w:jc w:val="both"/>
        <w:rPr>
          <w:rFonts w:ascii="Arial" w:eastAsia="Arial" w:hAnsi="Arial" w:cs="Arial"/>
        </w:rPr>
      </w:pPr>
    </w:p>
    <w:p w:rsidR="00D35DC7" w:rsidRDefault="00D35DC7">
      <w:pPr>
        <w:shd w:val="clear" w:color="auto" w:fill="FFFFFF"/>
        <w:spacing w:before="240" w:after="240" w:line="276" w:lineRule="auto"/>
        <w:jc w:val="both"/>
        <w:rPr>
          <w:rFonts w:ascii="Arial" w:eastAsia="Arial" w:hAnsi="Arial" w:cs="Arial"/>
        </w:rPr>
      </w:pPr>
    </w:p>
    <w:p w:rsidR="00D35DC7" w:rsidRDefault="00D35DC7">
      <w:pPr>
        <w:shd w:val="clear" w:color="auto" w:fill="FFFFFF"/>
        <w:spacing w:before="240" w:after="240" w:line="276" w:lineRule="auto"/>
        <w:jc w:val="both"/>
        <w:rPr>
          <w:rFonts w:ascii="Arial" w:eastAsia="Arial" w:hAnsi="Arial" w:cs="Arial"/>
        </w:rPr>
      </w:pPr>
    </w:p>
    <w:p w:rsidR="00D35DC7" w:rsidRDefault="00982954">
      <w:pPr>
        <w:shd w:val="clear" w:color="auto" w:fill="FFFFFF"/>
        <w:spacing w:before="240" w:after="240" w:line="276" w:lineRule="auto"/>
        <w:jc w:val="both"/>
        <w:rPr>
          <w:rFonts w:ascii="Arial" w:eastAsia="Arial" w:hAnsi="Arial" w:cs="Arial"/>
        </w:rPr>
      </w:pPr>
      <w:r>
        <w:rPr>
          <w:rFonts w:ascii="Arial" w:eastAsia="Arial" w:hAnsi="Arial" w:cs="Arial"/>
        </w:rPr>
        <w:t>A continuación, se da respuesta:</w:t>
      </w:r>
    </w:p>
    <w:tbl>
      <w:tblPr>
        <w:tblStyle w:val="a2"/>
        <w:tblW w:w="8838"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1555"/>
        <w:gridCol w:w="2557"/>
        <w:gridCol w:w="4726"/>
      </w:tblGrid>
      <w:tr w:rsidR="00D35DC7">
        <w:trPr>
          <w:trHeight w:val="465"/>
        </w:trPr>
        <w:tc>
          <w:tcPr>
            <w:tcW w:w="15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rsidR="00D35DC7" w:rsidRDefault="00982954">
            <w:pPr>
              <w:shd w:val="clear" w:color="auto" w:fill="FFFFFF"/>
              <w:jc w:val="center"/>
              <w:rPr>
                <w:rFonts w:ascii="Arial" w:eastAsia="Arial" w:hAnsi="Arial" w:cs="Arial"/>
                <w:b/>
                <w:sz w:val="18"/>
                <w:szCs w:val="18"/>
              </w:rPr>
            </w:pPr>
            <w:r>
              <w:rPr>
                <w:rFonts w:ascii="Arial" w:eastAsia="Arial" w:hAnsi="Arial" w:cs="Arial"/>
                <w:b/>
                <w:sz w:val="18"/>
                <w:szCs w:val="18"/>
              </w:rPr>
              <w:t>PREGUNTA</w:t>
            </w:r>
          </w:p>
        </w:tc>
        <w:tc>
          <w:tcPr>
            <w:tcW w:w="2557" w:type="dxa"/>
            <w:tcBorders>
              <w:top w:val="single" w:sz="6" w:space="0" w:color="000000"/>
              <w:left w:val="nil"/>
              <w:bottom w:val="single" w:sz="6" w:space="0" w:color="000000"/>
              <w:right w:val="single" w:sz="6" w:space="0" w:color="000000"/>
            </w:tcBorders>
            <w:tcMar>
              <w:top w:w="0" w:type="dxa"/>
              <w:left w:w="100" w:type="dxa"/>
              <w:bottom w:w="0" w:type="dxa"/>
              <w:right w:w="100" w:type="dxa"/>
            </w:tcMar>
          </w:tcPr>
          <w:p w:rsidR="00D35DC7" w:rsidRDefault="00982954">
            <w:pPr>
              <w:shd w:val="clear" w:color="auto" w:fill="FFFFFF"/>
              <w:jc w:val="center"/>
              <w:rPr>
                <w:rFonts w:ascii="Arial" w:eastAsia="Arial" w:hAnsi="Arial" w:cs="Arial"/>
                <w:b/>
                <w:sz w:val="18"/>
                <w:szCs w:val="18"/>
              </w:rPr>
            </w:pPr>
            <w:r>
              <w:rPr>
                <w:rFonts w:ascii="Arial" w:eastAsia="Arial" w:hAnsi="Arial" w:cs="Arial"/>
                <w:b/>
                <w:sz w:val="18"/>
                <w:szCs w:val="18"/>
              </w:rPr>
              <w:t>PARTE CONTENIDA EN EL PDD</w:t>
            </w:r>
          </w:p>
        </w:tc>
        <w:tc>
          <w:tcPr>
            <w:tcW w:w="4725" w:type="dxa"/>
            <w:tcBorders>
              <w:top w:val="single" w:sz="6" w:space="0" w:color="000000"/>
              <w:left w:val="nil"/>
              <w:bottom w:val="single" w:sz="6" w:space="0" w:color="000000"/>
              <w:right w:val="single" w:sz="6" w:space="0" w:color="000000"/>
            </w:tcBorders>
            <w:tcMar>
              <w:top w:w="0" w:type="dxa"/>
              <w:left w:w="100" w:type="dxa"/>
              <w:bottom w:w="0" w:type="dxa"/>
              <w:right w:w="100" w:type="dxa"/>
            </w:tcMar>
          </w:tcPr>
          <w:p w:rsidR="00D35DC7" w:rsidRDefault="00982954">
            <w:pPr>
              <w:shd w:val="clear" w:color="auto" w:fill="FFFFFF"/>
              <w:jc w:val="center"/>
              <w:rPr>
                <w:rFonts w:ascii="Arial" w:eastAsia="Arial" w:hAnsi="Arial" w:cs="Arial"/>
                <w:b/>
                <w:sz w:val="18"/>
                <w:szCs w:val="18"/>
              </w:rPr>
            </w:pPr>
            <w:r>
              <w:rPr>
                <w:rFonts w:ascii="Arial" w:eastAsia="Arial" w:hAnsi="Arial" w:cs="Arial"/>
                <w:b/>
                <w:sz w:val="18"/>
                <w:szCs w:val="18"/>
              </w:rPr>
              <w:t>META PDD</w:t>
            </w:r>
          </w:p>
        </w:tc>
      </w:tr>
      <w:tr w:rsidR="00D35DC7">
        <w:trPr>
          <w:trHeight w:val="2820"/>
        </w:trPr>
        <w:tc>
          <w:tcPr>
            <w:tcW w:w="1555" w:type="dxa"/>
            <w:vMerge w:val="restart"/>
            <w:tcBorders>
              <w:top w:val="nil"/>
              <w:left w:val="single" w:sz="6" w:space="0" w:color="000000"/>
              <w:bottom w:val="single" w:sz="6" w:space="0" w:color="000000"/>
              <w:right w:val="single" w:sz="6" w:space="0" w:color="000000"/>
            </w:tcBorders>
            <w:tcMar>
              <w:top w:w="0" w:type="dxa"/>
              <w:left w:w="100" w:type="dxa"/>
              <w:bottom w:w="0" w:type="dxa"/>
              <w:right w:w="100" w:type="dxa"/>
            </w:tcMar>
          </w:tcPr>
          <w:p w:rsidR="00D35DC7" w:rsidRDefault="00982954">
            <w:pPr>
              <w:shd w:val="clear" w:color="auto" w:fill="FFFFFF"/>
              <w:jc w:val="both"/>
              <w:rPr>
                <w:rFonts w:ascii="Arial" w:eastAsia="Arial" w:hAnsi="Arial" w:cs="Arial"/>
                <w:sz w:val="18"/>
                <w:szCs w:val="18"/>
              </w:rPr>
            </w:pPr>
            <w:r>
              <w:rPr>
                <w:rFonts w:ascii="Arial" w:eastAsia="Arial" w:hAnsi="Arial" w:cs="Arial"/>
                <w:sz w:val="18"/>
                <w:szCs w:val="18"/>
              </w:rPr>
              <w:t>- Deberes en materia de protección especial al patrimonio cultural inmaterial.</w:t>
            </w:r>
          </w:p>
        </w:tc>
        <w:tc>
          <w:tcPr>
            <w:tcW w:w="2557" w:type="dxa"/>
            <w:tcBorders>
              <w:top w:val="nil"/>
              <w:left w:val="nil"/>
              <w:bottom w:val="single" w:sz="6" w:space="0" w:color="000000"/>
              <w:right w:val="single" w:sz="6" w:space="0" w:color="000000"/>
            </w:tcBorders>
            <w:tcMar>
              <w:top w:w="0" w:type="dxa"/>
              <w:left w:w="100" w:type="dxa"/>
              <w:bottom w:w="0" w:type="dxa"/>
              <w:right w:w="100" w:type="dxa"/>
            </w:tcMar>
          </w:tcPr>
          <w:p w:rsidR="00D35DC7" w:rsidRDefault="00982954">
            <w:pPr>
              <w:shd w:val="clear" w:color="auto" w:fill="FFFFFF"/>
              <w:jc w:val="both"/>
              <w:rPr>
                <w:rFonts w:ascii="Arial" w:eastAsia="Arial" w:hAnsi="Arial" w:cs="Arial"/>
                <w:sz w:val="18"/>
                <w:szCs w:val="18"/>
              </w:rPr>
            </w:pPr>
            <w:r>
              <w:rPr>
                <w:rFonts w:ascii="Arial" w:eastAsia="Arial" w:hAnsi="Arial" w:cs="Arial"/>
                <w:sz w:val="18"/>
                <w:szCs w:val="18"/>
              </w:rPr>
              <w:t>Artículo 9. Programas del objetivo estratégico “Bogotá confía en su Bien-Estar”.</w:t>
            </w:r>
          </w:p>
          <w:p w:rsidR="00D35DC7" w:rsidRDefault="00982954">
            <w:pPr>
              <w:shd w:val="clear" w:color="auto" w:fill="FFFFFF"/>
              <w:ind w:left="360"/>
              <w:jc w:val="both"/>
              <w:rPr>
                <w:rFonts w:ascii="Arial" w:eastAsia="Arial" w:hAnsi="Arial" w:cs="Arial"/>
                <w:sz w:val="18"/>
                <w:szCs w:val="18"/>
              </w:rPr>
            </w:pPr>
            <w:r>
              <w:rPr>
                <w:rFonts w:ascii="Arial" w:eastAsia="Arial" w:hAnsi="Arial" w:cs="Arial"/>
                <w:sz w:val="18"/>
                <w:szCs w:val="18"/>
              </w:rPr>
              <w:t>-          Programa 15. Bogotá deportiva, recreativa, artística, patrimonial e intercultural.</w:t>
            </w:r>
          </w:p>
          <w:p w:rsidR="00D35DC7" w:rsidRDefault="00982954">
            <w:pPr>
              <w:shd w:val="clear" w:color="auto" w:fill="FFFFFF"/>
              <w:jc w:val="both"/>
              <w:rPr>
                <w:rFonts w:ascii="Arial" w:eastAsia="Arial" w:hAnsi="Arial" w:cs="Arial"/>
                <w:sz w:val="18"/>
                <w:szCs w:val="18"/>
              </w:rPr>
            </w:pPr>
            <w:r>
              <w:rPr>
                <w:rFonts w:ascii="Arial" w:eastAsia="Arial" w:hAnsi="Arial" w:cs="Arial"/>
                <w:sz w:val="18"/>
                <w:szCs w:val="18"/>
              </w:rPr>
              <w:t xml:space="preserve"> </w:t>
            </w:r>
          </w:p>
          <w:p w:rsidR="00D35DC7" w:rsidRDefault="00982954">
            <w:pPr>
              <w:shd w:val="clear" w:color="auto" w:fill="FFFFFF"/>
              <w:jc w:val="both"/>
              <w:rPr>
                <w:rFonts w:ascii="Arial" w:eastAsia="Arial" w:hAnsi="Arial" w:cs="Arial"/>
                <w:sz w:val="18"/>
                <w:szCs w:val="18"/>
              </w:rPr>
            </w:pPr>
            <w:r>
              <w:rPr>
                <w:rFonts w:ascii="Arial" w:eastAsia="Arial" w:hAnsi="Arial" w:cs="Arial"/>
                <w:sz w:val="18"/>
                <w:szCs w:val="18"/>
              </w:rPr>
              <w:t xml:space="preserve"> </w:t>
            </w:r>
          </w:p>
        </w:tc>
        <w:tc>
          <w:tcPr>
            <w:tcW w:w="4725" w:type="dxa"/>
            <w:tcBorders>
              <w:top w:val="nil"/>
              <w:left w:val="nil"/>
              <w:bottom w:val="single" w:sz="6" w:space="0" w:color="000000"/>
              <w:right w:val="single" w:sz="6" w:space="0" w:color="000000"/>
            </w:tcBorders>
            <w:tcMar>
              <w:top w:w="0" w:type="dxa"/>
              <w:left w:w="100" w:type="dxa"/>
              <w:bottom w:w="0" w:type="dxa"/>
              <w:right w:w="100" w:type="dxa"/>
            </w:tcMar>
          </w:tcPr>
          <w:p w:rsidR="00D35DC7" w:rsidRDefault="00982954">
            <w:pPr>
              <w:shd w:val="clear" w:color="auto" w:fill="FFFFFF"/>
              <w:jc w:val="both"/>
              <w:rPr>
                <w:rFonts w:ascii="Arial" w:eastAsia="Arial" w:hAnsi="Arial" w:cs="Arial"/>
                <w:sz w:val="18"/>
                <w:szCs w:val="18"/>
              </w:rPr>
            </w:pPr>
            <w:r>
              <w:rPr>
                <w:rFonts w:ascii="Arial" w:eastAsia="Arial" w:hAnsi="Arial" w:cs="Arial"/>
                <w:sz w:val="18"/>
                <w:szCs w:val="18"/>
              </w:rPr>
              <w:t>Desarrollar 3.600 actividades para la promoción, fortalecimiento y desarrollo de las prácticas artísticas, culturales y patrimoniales, como un medio para el ejercicio de los derechos y el desarrollo humano, con alcance zonal, distrital y regional</w:t>
            </w:r>
          </w:p>
          <w:p w:rsidR="00D35DC7" w:rsidRDefault="00982954">
            <w:pPr>
              <w:shd w:val="clear" w:color="auto" w:fill="FFFFFF"/>
              <w:jc w:val="both"/>
              <w:rPr>
                <w:rFonts w:ascii="Arial" w:eastAsia="Arial" w:hAnsi="Arial" w:cs="Arial"/>
                <w:sz w:val="18"/>
                <w:szCs w:val="18"/>
              </w:rPr>
            </w:pPr>
            <w:r>
              <w:rPr>
                <w:rFonts w:ascii="Arial" w:eastAsia="Arial" w:hAnsi="Arial" w:cs="Arial"/>
                <w:sz w:val="18"/>
                <w:szCs w:val="18"/>
              </w:rPr>
              <w:t xml:space="preserve"> </w:t>
            </w:r>
          </w:p>
          <w:p w:rsidR="00D35DC7" w:rsidRDefault="00982954">
            <w:pPr>
              <w:shd w:val="clear" w:color="auto" w:fill="FFFFFF"/>
              <w:jc w:val="both"/>
              <w:rPr>
                <w:rFonts w:ascii="Arial" w:eastAsia="Arial" w:hAnsi="Arial" w:cs="Arial"/>
                <w:sz w:val="18"/>
                <w:szCs w:val="18"/>
              </w:rPr>
            </w:pPr>
            <w:r>
              <w:rPr>
                <w:rFonts w:ascii="Arial" w:eastAsia="Arial" w:hAnsi="Arial" w:cs="Arial"/>
                <w:sz w:val="18"/>
                <w:szCs w:val="18"/>
              </w:rPr>
              <w:t>Implementar 4 asistencias técnicas para el reconocimiento y salvaguardia de manifestaciones del patrimonio cultural inmaterial de Bogotá</w:t>
            </w:r>
          </w:p>
          <w:p w:rsidR="00D35DC7" w:rsidRDefault="00982954">
            <w:pPr>
              <w:shd w:val="clear" w:color="auto" w:fill="FFFFFF"/>
              <w:jc w:val="both"/>
              <w:rPr>
                <w:rFonts w:ascii="Arial" w:eastAsia="Arial" w:hAnsi="Arial" w:cs="Arial"/>
                <w:sz w:val="18"/>
                <w:szCs w:val="18"/>
              </w:rPr>
            </w:pPr>
            <w:r>
              <w:rPr>
                <w:rFonts w:ascii="Arial" w:eastAsia="Arial" w:hAnsi="Arial" w:cs="Arial"/>
                <w:sz w:val="18"/>
                <w:szCs w:val="18"/>
              </w:rPr>
              <w:t xml:space="preserve"> </w:t>
            </w:r>
          </w:p>
          <w:p w:rsidR="00D35DC7" w:rsidRDefault="00982954">
            <w:pPr>
              <w:shd w:val="clear" w:color="auto" w:fill="FFFFFF"/>
              <w:jc w:val="both"/>
              <w:rPr>
                <w:rFonts w:ascii="Arial" w:eastAsia="Arial" w:hAnsi="Arial" w:cs="Arial"/>
                <w:sz w:val="18"/>
                <w:szCs w:val="18"/>
              </w:rPr>
            </w:pPr>
            <w:r>
              <w:rPr>
                <w:rFonts w:ascii="Arial" w:eastAsia="Arial" w:hAnsi="Arial" w:cs="Arial"/>
                <w:sz w:val="18"/>
                <w:szCs w:val="18"/>
              </w:rPr>
              <w:t>Entregar 200 estímulos, reconocimientos, apoyos, incentivos y alianzas estratégicas en el marco de los distintos programas de fomento</w:t>
            </w:r>
          </w:p>
          <w:p w:rsidR="00D35DC7" w:rsidRDefault="00982954">
            <w:pPr>
              <w:shd w:val="clear" w:color="auto" w:fill="FFFFFF"/>
              <w:jc w:val="both"/>
              <w:rPr>
                <w:rFonts w:ascii="Arial" w:eastAsia="Arial" w:hAnsi="Arial" w:cs="Arial"/>
                <w:sz w:val="18"/>
                <w:szCs w:val="18"/>
              </w:rPr>
            </w:pPr>
            <w:r>
              <w:rPr>
                <w:rFonts w:ascii="Arial" w:eastAsia="Arial" w:hAnsi="Arial" w:cs="Arial"/>
                <w:sz w:val="18"/>
                <w:szCs w:val="18"/>
              </w:rPr>
              <w:t xml:space="preserve"> </w:t>
            </w:r>
          </w:p>
        </w:tc>
      </w:tr>
      <w:tr w:rsidR="00D35DC7">
        <w:trPr>
          <w:trHeight w:val="2160"/>
        </w:trPr>
        <w:tc>
          <w:tcPr>
            <w:tcW w:w="1555" w:type="dxa"/>
            <w:vMerge/>
            <w:tcBorders>
              <w:top w:val="nil"/>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tcPr>
          <w:p w:rsidR="00D35DC7" w:rsidRDefault="00D35DC7">
            <w:pPr>
              <w:shd w:val="clear" w:color="auto" w:fill="FFFFFF"/>
              <w:spacing w:before="240" w:after="240" w:line="276" w:lineRule="auto"/>
              <w:jc w:val="both"/>
              <w:rPr>
                <w:rFonts w:ascii="Arial" w:eastAsia="Arial" w:hAnsi="Arial" w:cs="Arial"/>
              </w:rPr>
            </w:pPr>
          </w:p>
        </w:tc>
        <w:tc>
          <w:tcPr>
            <w:tcW w:w="2557" w:type="dxa"/>
            <w:tcBorders>
              <w:top w:val="nil"/>
              <w:left w:val="nil"/>
              <w:bottom w:val="single" w:sz="6" w:space="0" w:color="000000"/>
              <w:right w:val="single" w:sz="6" w:space="0" w:color="000000"/>
            </w:tcBorders>
            <w:shd w:val="clear" w:color="auto" w:fill="auto"/>
            <w:tcMar>
              <w:top w:w="0" w:type="dxa"/>
              <w:left w:w="100" w:type="dxa"/>
              <w:bottom w:w="0" w:type="dxa"/>
              <w:right w:w="100" w:type="dxa"/>
            </w:tcMar>
          </w:tcPr>
          <w:p w:rsidR="00D35DC7" w:rsidRDefault="00982954">
            <w:pPr>
              <w:shd w:val="clear" w:color="auto" w:fill="FFFFFF"/>
              <w:jc w:val="both"/>
              <w:rPr>
                <w:rFonts w:ascii="Arial" w:eastAsia="Arial" w:hAnsi="Arial" w:cs="Arial"/>
                <w:sz w:val="18"/>
                <w:szCs w:val="18"/>
              </w:rPr>
            </w:pPr>
            <w:r>
              <w:rPr>
                <w:rFonts w:ascii="Arial" w:eastAsia="Arial" w:hAnsi="Arial" w:cs="Arial"/>
                <w:sz w:val="18"/>
                <w:szCs w:val="18"/>
              </w:rPr>
              <w:t>Artículo 11. Programas del objetivo estratégico “Bogotá confía en su potencial”</w:t>
            </w:r>
          </w:p>
          <w:p w:rsidR="00D35DC7" w:rsidRDefault="00982954">
            <w:pPr>
              <w:shd w:val="clear" w:color="auto" w:fill="FFFFFF"/>
              <w:ind w:left="360"/>
              <w:jc w:val="both"/>
              <w:rPr>
                <w:rFonts w:ascii="Arial" w:eastAsia="Arial" w:hAnsi="Arial" w:cs="Arial"/>
                <w:sz w:val="18"/>
                <w:szCs w:val="18"/>
              </w:rPr>
            </w:pPr>
            <w:r>
              <w:rPr>
                <w:rFonts w:ascii="Arial" w:eastAsia="Arial" w:hAnsi="Arial" w:cs="Arial"/>
                <w:sz w:val="18"/>
                <w:szCs w:val="18"/>
              </w:rPr>
              <w:t>-          Programa 17. La educación como eje del potencial humano.</w:t>
            </w:r>
          </w:p>
          <w:p w:rsidR="00D35DC7" w:rsidRDefault="00982954">
            <w:pPr>
              <w:shd w:val="clear" w:color="auto" w:fill="FFFFFF"/>
              <w:jc w:val="both"/>
              <w:rPr>
                <w:rFonts w:ascii="Arial" w:eastAsia="Arial" w:hAnsi="Arial" w:cs="Arial"/>
                <w:sz w:val="18"/>
                <w:szCs w:val="18"/>
              </w:rPr>
            </w:pPr>
            <w:r>
              <w:rPr>
                <w:rFonts w:ascii="Arial" w:eastAsia="Arial" w:hAnsi="Arial" w:cs="Arial"/>
                <w:sz w:val="18"/>
                <w:szCs w:val="18"/>
              </w:rPr>
              <w:t xml:space="preserve"> </w:t>
            </w:r>
          </w:p>
        </w:tc>
        <w:tc>
          <w:tcPr>
            <w:tcW w:w="4725" w:type="dxa"/>
            <w:tcBorders>
              <w:top w:val="nil"/>
              <w:left w:val="nil"/>
              <w:bottom w:val="single" w:sz="6" w:space="0" w:color="000000"/>
              <w:right w:val="single" w:sz="6" w:space="0" w:color="000000"/>
            </w:tcBorders>
            <w:shd w:val="clear" w:color="auto" w:fill="auto"/>
            <w:tcMar>
              <w:top w:w="0" w:type="dxa"/>
              <w:left w:w="100" w:type="dxa"/>
              <w:bottom w:w="0" w:type="dxa"/>
              <w:right w:w="100" w:type="dxa"/>
            </w:tcMar>
          </w:tcPr>
          <w:p w:rsidR="00D35DC7" w:rsidRDefault="00982954">
            <w:pPr>
              <w:shd w:val="clear" w:color="auto" w:fill="FFFFFF"/>
              <w:jc w:val="both"/>
              <w:rPr>
                <w:rFonts w:ascii="Arial" w:eastAsia="Arial" w:hAnsi="Arial" w:cs="Arial"/>
                <w:sz w:val="18"/>
                <w:szCs w:val="18"/>
              </w:rPr>
            </w:pPr>
            <w:r>
              <w:rPr>
                <w:rFonts w:ascii="Arial" w:eastAsia="Arial" w:hAnsi="Arial" w:cs="Arial"/>
                <w:sz w:val="18"/>
                <w:szCs w:val="18"/>
              </w:rPr>
              <w:t>Beneficiar a 5.500 niños, niñas, adolescentes y jóvenes en educación inicial, básica y media, a través de procesos de formación digital, cultural, artística, patrimonial, deportiva y cultura ciudadana</w:t>
            </w:r>
          </w:p>
          <w:p w:rsidR="00D35DC7" w:rsidRDefault="00982954">
            <w:pPr>
              <w:shd w:val="clear" w:color="auto" w:fill="FFFFFF"/>
              <w:jc w:val="both"/>
              <w:rPr>
                <w:rFonts w:ascii="Arial" w:eastAsia="Arial" w:hAnsi="Arial" w:cs="Arial"/>
                <w:sz w:val="18"/>
                <w:szCs w:val="18"/>
              </w:rPr>
            </w:pPr>
            <w:r>
              <w:rPr>
                <w:rFonts w:ascii="Arial" w:eastAsia="Arial" w:hAnsi="Arial" w:cs="Arial"/>
                <w:sz w:val="18"/>
                <w:szCs w:val="18"/>
              </w:rPr>
              <w:t xml:space="preserve"> </w:t>
            </w:r>
          </w:p>
          <w:p w:rsidR="00D35DC7" w:rsidRDefault="00982954">
            <w:pPr>
              <w:shd w:val="clear" w:color="auto" w:fill="FFFFFF"/>
              <w:jc w:val="both"/>
              <w:rPr>
                <w:rFonts w:ascii="Arial" w:eastAsia="Arial" w:hAnsi="Arial" w:cs="Arial"/>
                <w:sz w:val="18"/>
                <w:szCs w:val="18"/>
              </w:rPr>
            </w:pPr>
            <w:r>
              <w:rPr>
                <w:rFonts w:ascii="Arial" w:eastAsia="Arial" w:hAnsi="Arial" w:cs="Arial"/>
                <w:sz w:val="18"/>
                <w:szCs w:val="18"/>
              </w:rPr>
              <w:t>Beneficiar 1.000 personas a partir de la primera infancia y a lo largo de la vida en procesos de formación, exploración y circulación cultural, artística, patrimonial, recreativa y deportiva en particular en espacios cercanos y entornos comunitarios</w:t>
            </w:r>
          </w:p>
          <w:p w:rsidR="00D35DC7" w:rsidRDefault="00982954">
            <w:pPr>
              <w:shd w:val="clear" w:color="auto" w:fill="FFFFFF"/>
              <w:jc w:val="both"/>
              <w:rPr>
                <w:rFonts w:ascii="Arial" w:eastAsia="Arial" w:hAnsi="Arial" w:cs="Arial"/>
                <w:sz w:val="18"/>
                <w:szCs w:val="18"/>
              </w:rPr>
            </w:pPr>
            <w:r>
              <w:rPr>
                <w:rFonts w:ascii="Arial" w:eastAsia="Arial" w:hAnsi="Arial" w:cs="Arial"/>
                <w:sz w:val="18"/>
                <w:szCs w:val="18"/>
              </w:rPr>
              <w:t xml:space="preserve"> </w:t>
            </w:r>
          </w:p>
        </w:tc>
      </w:tr>
      <w:tr w:rsidR="00D35DC7">
        <w:trPr>
          <w:trHeight w:val="2040"/>
        </w:trPr>
        <w:tc>
          <w:tcPr>
            <w:tcW w:w="1555" w:type="dxa"/>
            <w:vMerge/>
            <w:tcBorders>
              <w:top w:val="nil"/>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tcPr>
          <w:p w:rsidR="00D35DC7" w:rsidRDefault="00D35DC7">
            <w:pPr>
              <w:shd w:val="clear" w:color="auto" w:fill="FFFFFF"/>
              <w:spacing w:before="240" w:after="240" w:line="276" w:lineRule="auto"/>
              <w:jc w:val="both"/>
              <w:rPr>
                <w:rFonts w:ascii="Arial" w:eastAsia="Arial" w:hAnsi="Arial" w:cs="Arial"/>
              </w:rPr>
            </w:pPr>
          </w:p>
        </w:tc>
        <w:tc>
          <w:tcPr>
            <w:tcW w:w="2557" w:type="dxa"/>
            <w:tcBorders>
              <w:top w:val="nil"/>
              <w:left w:val="nil"/>
              <w:bottom w:val="single" w:sz="6" w:space="0" w:color="000000"/>
              <w:right w:val="single" w:sz="6" w:space="0" w:color="000000"/>
            </w:tcBorders>
            <w:shd w:val="clear" w:color="auto" w:fill="auto"/>
            <w:tcMar>
              <w:top w:w="0" w:type="dxa"/>
              <w:left w:w="100" w:type="dxa"/>
              <w:bottom w:w="0" w:type="dxa"/>
              <w:right w:w="100" w:type="dxa"/>
            </w:tcMar>
          </w:tcPr>
          <w:p w:rsidR="00D35DC7" w:rsidRDefault="00982954">
            <w:pPr>
              <w:shd w:val="clear" w:color="auto" w:fill="FFFFFF"/>
              <w:jc w:val="both"/>
              <w:rPr>
                <w:rFonts w:ascii="Arial" w:eastAsia="Arial" w:hAnsi="Arial" w:cs="Arial"/>
                <w:sz w:val="18"/>
                <w:szCs w:val="18"/>
              </w:rPr>
            </w:pPr>
            <w:r>
              <w:rPr>
                <w:rFonts w:ascii="Arial" w:eastAsia="Arial" w:hAnsi="Arial" w:cs="Arial"/>
                <w:sz w:val="18"/>
                <w:szCs w:val="18"/>
              </w:rPr>
              <w:t>Artículo 13. Programas Objetivo Estratégico “Bogotá ordena su territorio y avanza en</w:t>
            </w:r>
          </w:p>
          <w:p w:rsidR="00D35DC7" w:rsidRDefault="00982954">
            <w:pPr>
              <w:shd w:val="clear" w:color="auto" w:fill="FFFFFF"/>
              <w:jc w:val="both"/>
              <w:rPr>
                <w:rFonts w:ascii="Arial" w:eastAsia="Arial" w:hAnsi="Arial" w:cs="Arial"/>
                <w:sz w:val="18"/>
                <w:szCs w:val="18"/>
              </w:rPr>
            </w:pPr>
            <w:r>
              <w:rPr>
                <w:rFonts w:ascii="Arial" w:eastAsia="Arial" w:hAnsi="Arial" w:cs="Arial"/>
                <w:sz w:val="18"/>
                <w:szCs w:val="18"/>
              </w:rPr>
              <w:t>su acción climática”.</w:t>
            </w:r>
          </w:p>
          <w:p w:rsidR="00D35DC7" w:rsidRDefault="00982954">
            <w:pPr>
              <w:shd w:val="clear" w:color="auto" w:fill="FFFFFF"/>
              <w:ind w:left="360"/>
              <w:jc w:val="both"/>
              <w:rPr>
                <w:rFonts w:ascii="Arial" w:eastAsia="Arial" w:hAnsi="Arial" w:cs="Arial"/>
                <w:sz w:val="18"/>
                <w:szCs w:val="18"/>
              </w:rPr>
            </w:pPr>
            <w:r>
              <w:rPr>
                <w:rFonts w:ascii="Arial" w:eastAsia="Arial" w:hAnsi="Arial" w:cs="Arial"/>
                <w:sz w:val="18"/>
                <w:szCs w:val="18"/>
              </w:rPr>
              <w:t>-          Programa 25. Revitalización y renovación urbana y rural con inclusión</w:t>
            </w:r>
          </w:p>
        </w:tc>
        <w:tc>
          <w:tcPr>
            <w:tcW w:w="4725" w:type="dxa"/>
            <w:tcBorders>
              <w:top w:val="nil"/>
              <w:left w:val="nil"/>
              <w:bottom w:val="single" w:sz="6" w:space="0" w:color="000000"/>
              <w:right w:val="single" w:sz="6" w:space="0" w:color="000000"/>
            </w:tcBorders>
            <w:shd w:val="clear" w:color="auto" w:fill="auto"/>
            <w:tcMar>
              <w:top w:w="0" w:type="dxa"/>
              <w:left w:w="100" w:type="dxa"/>
              <w:bottom w:w="0" w:type="dxa"/>
              <w:right w:w="100" w:type="dxa"/>
            </w:tcMar>
          </w:tcPr>
          <w:p w:rsidR="00D35DC7" w:rsidRDefault="00982954">
            <w:pPr>
              <w:shd w:val="clear" w:color="auto" w:fill="FFFFFF"/>
              <w:jc w:val="both"/>
              <w:rPr>
                <w:rFonts w:ascii="Arial" w:eastAsia="Arial" w:hAnsi="Arial" w:cs="Arial"/>
                <w:sz w:val="18"/>
                <w:szCs w:val="18"/>
              </w:rPr>
            </w:pPr>
            <w:r>
              <w:rPr>
                <w:rFonts w:ascii="Arial" w:eastAsia="Arial" w:hAnsi="Arial" w:cs="Arial"/>
                <w:sz w:val="18"/>
                <w:szCs w:val="18"/>
              </w:rPr>
              <w:t>Desarrollar 5 instrumentos de planeación y gestión orientados a la protección, conservación y sostenibilidad del patrimonio natural, inmaterial, material, arqueológico y paleontológico de la ciudad</w:t>
            </w:r>
          </w:p>
          <w:p w:rsidR="00D35DC7" w:rsidRDefault="00982954">
            <w:pPr>
              <w:shd w:val="clear" w:color="auto" w:fill="FFFFFF"/>
              <w:jc w:val="both"/>
              <w:rPr>
                <w:rFonts w:ascii="Arial" w:eastAsia="Arial" w:hAnsi="Arial" w:cs="Arial"/>
                <w:sz w:val="18"/>
                <w:szCs w:val="18"/>
              </w:rPr>
            </w:pPr>
            <w:r>
              <w:rPr>
                <w:rFonts w:ascii="Arial" w:eastAsia="Arial" w:hAnsi="Arial" w:cs="Arial"/>
                <w:sz w:val="18"/>
                <w:szCs w:val="18"/>
              </w:rPr>
              <w:t xml:space="preserve"> </w:t>
            </w:r>
          </w:p>
        </w:tc>
      </w:tr>
      <w:tr w:rsidR="00D35DC7">
        <w:trPr>
          <w:trHeight w:val="915"/>
        </w:trPr>
        <w:tc>
          <w:tcPr>
            <w:tcW w:w="1555" w:type="dxa"/>
            <w:vMerge/>
            <w:tcBorders>
              <w:top w:val="nil"/>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tcPr>
          <w:p w:rsidR="00D35DC7" w:rsidRDefault="00D35DC7">
            <w:pPr>
              <w:shd w:val="clear" w:color="auto" w:fill="FFFFFF"/>
              <w:spacing w:before="240" w:after="240" w:line="276" w:lineRule="auto"/>
              <w:jc w:val="both"/>
              <w:rPr>
                <w:rFonts w:ascii="Arial" w:eastAsia="Arial" w:hAnsi="Arial" w:cs="Arial"/>
              </w:rPr>
            </w:pPr>
          </w:p>
        </w:tc>
        <w:tc>
          <w:tcPr>
            <w:tcW w:w="2557" w:type="dxa"/>
            <w:tcBorders>
              <w:top w:val="nil"/>
              <w:left w:val="nil"/>
              <w:bottom w:val="single" w:sz="6" w:space="0" w:color="000000"/>
              <w:right w:val="single" w:sz="6" w:space="0" w:color="000000"/>
            </w:tcBorders>
            <w:shd w:val="clear" w:color="auto" w:fill="auto"/>
            <w:tcMar>
              <w:top w:w="0" w:type="dxa"/>
              <w:left w:w="100" w:type="dxa"/>
              <w:bottom w:w="0" w:type="dxa"/>
              <w:right w:w="100" w:type="dxa"/>
            </w:tcMar>
          </w:tcPr>
          <w:p w:rsidR="00D35DC7" w:rsidRDefault="00982954">
            <w:pPr>
              <w:shd w:val="clear" w:color="auto" w:fill="FFFFFF"/>
              <w:jc w:val="both"/>
              <w:rPr>
                <w:rFonts w:ascii="Arial" w:eastAsia="Arial" w:hAnsi="Arial" w:cs="Arial"/>
                <w:sz w:val="18"/>
                <w:szCs w:val="18"/>
              </w:rPr>
            </w:pPr>
            <w:r>
              <w:rPr>
                <w:rFonts w:ascii="Arial" w:eastAsia="Arial" w:hAnsi="Arial" w:cs="Arial"/>
                <w:sz w:val="18"/>
                <w:szCs w:val="18"/>
              </w:rPr>
              <w:t>Artículo 37. Incorporación de los planes de acción de instrumentos asociados al patrimonio cultural.</w:t>
            </w:r>
          </w:p>
        </w:tc>
        <w:tc>
          <w:tcPr>
            <w:tcW w:w="4725" w:type="dxa"/>
            <w:tcBorders>
              <w:top w:val="nil"/>
              <w:left w:val="nil"/>
              <w:bottom w:val="single" w:sz="6" w:space="0" w:color="000000"/>
              <w:right w:val="single" w:sz="6" w:space="0" w:color="000000"/>
            </w:tcBorders>
            <w:shd w:val="clear" w:color="auto" w:fill="auto"/>
            <w:tcMar>
              <w:top w:w="0" w:type="dxa"/>
              <w:left w:w="100" w:type="dxa"/>
              <w:bottom w:w="0" w:type="dxa"/>
              <w:right w:w="100" w:type="dxa"/>
            </w:tcMar>
          </w:tcPr>
          <w:p w:rsidR="00D35DC7" w:rsidRDefault="00982954">
            <w:pPr>
              <w:shd w:val="clear" w:color="auto" w:fill="FFFFFF"/>
              <w:jc w:val="both"/>
              <w:rPr>
                <w:rFonts w:ascii="Arial" w:eastAsia="Arial" w:hAnsi="Arial" w:cs="Arial"/>
                <w:sz w:val="18"/>
                <w:szCs w:val="18"/>
              </w:rPr>
            </w:pPr>
            <w:r>
              <w:rPr>
                <w:rFonts w:ascii="Arial" w:eastAsia="Arial" w:hAnsi="Arial" w:cs="Arial"/>
                <w:sz w:val="18"/>
                <w:szCs w:val="18"/>
              </w:rPr>
              <w:t>General a todas las metas del IDPC</w:t>
            </w:r>
          </w:p>
        </w:tc>
      </w:tr>
    </w:tbl>
    <w:p w:rsidR="00D35DC7" w:rsidRDefault="00982954">
      <w:pPr>
        <w:shd w:val="clear" w:color="auto" w:fill="FFFFFF"/>
        <w:jc w:val="both"/>
        <w:rPr>
          <w:rFonts w:ascii="Arial" w:eastAsia="Arial" w:hAnsi="Arial" w:cs="Arial"/>
          <w:sz w:val="18"/>
          <w:szCs w:val="18"/>
        </w:rPr>
      </w:pPr>
      <w:r>
        <w:rPr>
          <w:rFonts w:ascii="Arial" w:eastAsia="Arial" w:hAnsi="Arial" w:cs="Arial"/>
          <w:sz w:val="18"/>
          <w:szCs w:val="18"/>
        </w:rPr>
        <w:t xml:space="preserve"> </w:t>
      </w:r>
    </w:p>
    <w:tbl>
      <w:tblPr>
        <w:tblStyle w:val="a3"/>
        <w:tblW w:w="8838"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1945"/>
        <w:gridCol w:w="3379"/>
        <w:gridCol w:w="3514"/>
      </w:tblGrid>
      <w:tr w:rsidR="00D35DC7">
        <w:trPr>
          <w:trHeight w:val="1365"/>
        </w:trPr>
        <w:tc>
          <w:tcPr>
            <w:tcW w:w="1944" w:type="dxa"/>
            <w:vMerge w:val="restart"/>
            <w:tcBorders>
              <w:top w:val="single" w:sz="6" w:space="0" w:color="000000"/>
              <w:left w:val="single" w:sz="6" w:space="0" w:color="000000"/>
              <w:bottom w:val="single" w:sz="6" w:space="0" w:color="000000"/>
              <w:right w:val="single" w:sz="6" w:space="0" w:color="000000"/>
            </w:tcBorders>
            <w:shd w:val="clear" w:color="auto" w:fill="auto"/>
            <w:tcMar>
              <w:top w:w="0" w:type="dxa"/>
              <w:left w:w="100" w:type="dxa"/>
              <w:bottom w:w="0" w:type="dxa"/>
              <w:right w:w="100" w:type="dxa"/>
            </w:tcMar>
          </w:tcPr>
          <w:p w:rsidR="00D35DC7" w:rsidRDefault="00982954">
            <w:pPr>
              <w:shd w:val="clear" w:color="auto" w:fill="FFFFFF"/>
              <w:jc w:val="both"/>
              <w:rPr>
                <w:rFonts w:ascii="Arial" w:eastAsia="Arial" w:hAnsi="Arial" w:cs="Arial"/>
                <w:sz w:val="18"/>
                <w:szCs w:val="18"/>
              </w:rPr>
            </w:pPr>
            <w:r>
              <w:rPr>
                <w:rFonts w:ascii="Arial" w:eastAsia="Arial" w:hAnsi="Arial" w:cs="Arial"/>
                <w:sz w:val="18"/>
                <w:szCs w:val="18"/>
              </w:rPr>
              <w:t>- Deberes en materia de protección, conservación y rehabilitación de patrimonio cultural construido (bienes de interés cultural inmueble individual, centros históricos, cascos o sectores antiguos y los conjuntos urbanos)</w:t>
            </w:r>
          </w:p>
        </w:tc>
        <w:tc>
          <w:tcPr>
            <w:tcW w:w="3379" w:type="dxa"/>
            <w:tcBorders>
              <w:top w:val="single" w:sz="6" w:space="0" w:color="000000"/>
              <w:left w:val="nil"/>
              <w:bottom w:val="single" w:sz="6" w:space="0" w:color="000000"/>
              <w:right w:val="single" w:sz="6" w:space="0" w:color="000000"/>
            </w:tcBorders>
            <w:shd w:val="clear" w:color="auto" w:fill="auto"/>
            <w:tcMar>
              <w:top w:w="0" w:type="dxa"/>
              <w:left w:w="100" w:type="dxa"/>
              <w:bottom w:w="0" w:type="dxa"/>
              <w:right w:w="100" w:type="dxa"/>
            </w:tcMar>
          </w:tcPr>
          <w:p w:rsidR="00D35DC7" w:rsidRDefault="00982954">
            <w:pPr>
              <w:shd w:val="clear" w:color="auto" w:fill="FFFFFF"/>
              <w:jc w:val="both"/>
              <w:rPr>
                <w:rFonts w:ascii="Arial" w:eastAsia="Arial" w:hAnsi="Arial" w:cs="Arial"/>
                <w:sz w:val="18"/>
                <w:szCs w:val="18"/>
              </w:rPr>
            </w:pPr>
            <w:r>
              <w:rPr>
                <w:rFonts w:ascii="Arial" w:eastAsia="Arial" w:hAnsi="Arial" w:cs="Arial"/>
                <w:sz w:val="18"/>
                <w:szCs w:val="18"/>
              </w:rPr>
              <w:t>Artículo 7. Programas del objetivo estratégico “Bogotá avanza en seguridad”.</w:t>
            </w:r>
          </w:p>
          <w:p w:rsidR="00D35DC7" w:rsidRDefault="00982954">
            <w:pPr>
              <w:shd w:val="clear" w:color="auto" w:fill="FFFFFF"/>
              <w:ind w:left="360"/>
              <w:jc w:val="both"/>
              <w:rPr>
                <w:rFonts w:ascii="Arial" w:eastAsia="Arial" w:hAnsi="Arial" w:cs="Arial"/>
                <w:sz w:val="18"/>
                <w:szCs w:val="18"/>
              </w:rPr>
            </w:pPr>
            <w:r>
              <w:rPr>
                <w:rFonts w:ascii="Arial" w:eastAsia="Arial" w:hAnsi="Arial" w:cs="Arial"/>
                <w:sz w:val="18"/>
                <w:szCs w:val="18"/>
              </w:rPr>
              <w:t>-          Programa 6: Espacio público seguro e inclusivo</w:t>
            </w:r>
          </w:p>
        </w:tc>
        <w:tc>
          <w:tcPr>
            <w:tcW w:w="3514" w:type="dxa"/>
            <w:tcBorders>
              <w:top w:val="single" w:sz="6" w:space="0" w:color="000000"/>
              <w:left w:val="nil"/>
              <w:bottom w:val="single" w:sz="6" w:space="0" w:color="000000"/>
              <w:right w:val="single" w:sz="6" w:space="0" w:color="000000"/>
            </w:tcBorders>
            <w:shd w:val="clear" w:color="auto" w:fill="auto"/>
            <w:tcMar>
              <w:top w:w="0" w:type="dxa"/>
              <w:left w:w="100" w:type="dxa"/>
              <w:bottom w:w="0" w:type="dxa"/>
              <w:right w:w="100" w:type="dxa"/>
            </w:tcMar>
          </w:tcPr>
          <w:p w:rsidR="00D35DC7" w:rsidRDefault="00982954">
            <w:pPr>
              <w:shd w:val="clear" w:color="auto" w:fill="FFFFFF"/>
              <w:jc w:val="both"/>
              <w:rPr>
                <w:rFonts w:ascii="Arial" w:eastAsia="Arial" w:hAnsi="Arial" w:cs="Arial"/>
                <w:sz w:val="18"/>
                <w:szCs w:val="18"/>
              </w:rPr>
            </w:pPr>
            <w:r>
              <w:rPr>
                <w:rFonts w:ascii="Arial" w:eastAsia="Arial" w:hAnsi="Arial" w:cs="Arial"/>
                <w:sz w:val="18"/>
                <w:szCs w:val="18"/>
              </w:rPr>
              <w:t>Intervenir 10 espacios patrimoniales en el marco de los componentes de la Estructura Integradora de los Patrimonios mediante acciones de recuperación y mantenimiento para generar lugares de encuentro de la ciudadanía</w:t>
            </w:r>
          </w:p>
        </w:tc>
      </w:tr>
      <w:tr w:rsidR="00D35DC7">
        <w:trPr>
          <w:trHeight w:val="2850"/>
        </w:trPr>
        <w:tc>
          <w:tcPr>
            <w:tcW w:w="1944" w:type="dxa"/>
            <w:vMerge/>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tcPr>
          <w:p w:rsidR="00D35DC7" w:rsidRDefault="00D35DC7">
            <w:pPr>
              <w:shd w:val="clear" w:color="auto" w:fill="FFFFFF"/>
              <w:spacing w:before="240" w:after="240" w:line="276" w:lineRule="auto"/>
              <w:jc w:val="both"/>
              <w:rPr>
                <w:rFonts w:ascii="Arial" w:eastAsia="Arial" w:hAnsi="Arial" w:cs="Arial"/>
              </w:rPr>
            </w:pPr>
          </w:p>
        </w:tc>
        <w:tc>
          <w:tcPr>
            <w:tcW w:w="3379" w:type="dxa"/>
            <w:tcBorders>
              <w:top w:val="nil"/>
              <w:left w:val="nil"/>
              <w:bottom w:val="single" w:sz="6" w:space="0" w:color="000000"/>
              <w:right w:val="single" w:sz="6" w:space="0" w:color="000000"/>
            </w:tcBorders>
            <w:shd w:val="clear" w:color="auto" w:fill="auto"/>
            <w:tcMar>
              <w:top w:w="0" w:type="dxa"/>
              <w:left w:w="100" w:type="dxa"/>
              <w:bottom w:w="0" w:type="dxa"/>
              <w:right w:w="100" w:type="dxa"/>
            </w:tcMar>
          </w:tcPr>
          <w:p w:rsidR="00D35DC7" w:rsidRDefault="00982954">
            <w:pPr>
              <w:shd w:val="clear" w:color="auto" w:fill="FFFFFF"/>
              <w:jc w:val="both"/>
              <w:rPr>
                <w:rFonts w:ascii="Arial" w:eastAsia="Arial" w:hAnsi="Arial" w:cs="Arial"/>
                <w:sz w:val="18"/>
                <w:szCs w:val="18"/>
              </w:rPr>
            </w:pPr>
            <w:r>
              <w:rPr>
                <w:rFonts w:ascii="Arial" w:eastAsia="Arial" w:hAnsi="Arial" w:cs="Arial"/>
                <w:sz w:val="18"/>
                <w:szCs w:val="18"/>
              </w:rPr>
              <w:t xml:space="preserve"> </w:t>
            </w:r>
          </w:p>
          <w:p w:rsidR="00D35DC7" w:rsidRDefault="00982954">
            <w:pPr>
              <w:shd w:val="clear" w:color="auto" w:fill="FFFFFF"/>
              <w:jc w:val="both"/>
              <w:rPr>
                <w:rFonts w:ascii="Arial" w:eastAsia="Arial" w:hAnsi="Arial" w:cs="Arial"/>
                <w:sz w:val="18"/>
                <w:szCs w:val="18"/>
              </w:rPr>
            </w:pPr>
            <w:r>
              <w:rPr>
                <w:rFonts w:ascii="Arial" w:eastAsia="Arial" w:hAnsi="Arial" w:cs="Arial"/>
                <w:sz w:val="18"/>
                <w:szCs w:val="18"/>
              </w:rPr>
              <w:t>Artículo 13. Programas Objetivo Estratégico “Bogotá ordena su territorio y avanza en</w:t>
            </w:r>
          </w:p>
          <w:p w:rsidR="00D35DC7" w:rsidRDefault="00982954">
            <w:pPr>
              <w:shd w:val="clear" w:color="auto" w:fill="FFFFFF"/>
              <w:jc w:val="both"/>
              <w:rPr>
                <w:rFonts w:ascii="Arial" w:eastAsia="Arial" w:hAnsi="Arial" w:cs="Arial"/>
                <w:sz w:val="18"/>
                <w:szCs w:val="18"/>
              </w:rPr>
            </w:pPr>
            <w:r>
              <w:rPr>
                <w:rFonts w:ascii="Arial" w:eastAsia="Arial" w:hAnsi="Arial" w:cs="Arial"/>
                <w:sz w:val="18"/>
                <w:szCs w:val="18"/>
              </w:rPr>
              <w:t>su acción climática”.</w:t>
            </w:r>
          </w:p>
          <w:p w:rsidR="00D35DC7" w:rsidRDefault="00982954">
            <w:pPr>
              <w:shd w:val="clear" w:color="auto" w:fill="FFFFFF"/>
              <w:ind w:left="360"/>
              <w:jc w:val="both"/>
              <w:rPr>
                <w:rFonts w:ascii="Arial" w:eastAsia="Arial" w:hAnsi="Arial" w:cs="Arial"/>
                <w:sz w:val="18"/>
                <w:szCs w:val="18"/>
              </w:rPr>
            </w:pPr>
            <w:r>
              <w:rPr>
                <w:rFonts w:ascii="Arial" w:eastAsia="Arial" w:hAnsi="Arial" w:cs="Arial"/>
                <w:sz w:val="18"/>
                <w:szCs w:val="18"/>
              </w:rPr>
              <w:t>-          Programa 25. Revitalización y renovación urbana y rural con inclusión.</w:t>
            </w:r>
          </w:p>
          <w:p w:rsidR="00D35DC7" w:rsidRDefault="00982954">
            <w:pPr>
              <w:shd w:val="clear" w:color="auto" w:fill="FFFFFF"/>
              <w:jc w:val="both"/>
              <w:rPr>
                <w:rFonts w:ascii="Arial" w:eastAsia="Arial" w:hAnsi="Arial" w:cs="Arial"/>
                <w:sz w:val="18"/>
                <w:szCs w:val="18"/>
              </w:rPr>
            </w:pPr>
            <w:r>
              <w:rPr>
                <w:rFonts w:ascii="Arial" w:eastAsia="Arial" w:hAnsi="Arial" w:cs="Arial"/>
                <w:sz w:val="18"/>
                <w:szCs w:val="18"/>
              </w:rPr>
              <w:t xml:space="preserve"> </w:t>
            </w:r>
          </w:p>
          <w:p w:rsidR="00D35DC7" w:rsidRDefault="00982954">
            <w:pPr>
              <w:shd w:val="clear" w:color="auto" w:fill="FFFFFF"/>
              <w:jc w:val="both"/>
              <w:rPr>
                <w:rFonts w:ascii="Arial" w:eastAsia="Arial" w:hAnsi="Arial" w:cs="Arial"/>
                <w:sz w:val="18"/>
                <w:szCs w:val="18"/>
              </w:rPr>
            </w:pPr>
            <w:r>
              <w:rPr>
                <w:rFonts w:ascii="Arial" w:eastAsia="Arial" w:hAnsi="Arial" w:cs="Arial"/>
                <w:sz w:val="18"/>
                <w:szCs w:val="18"/>
              </w:rPr>
              <w:t xml:space="preserve"> </w:t>
            </w:r>
          </w:p>
        </w:tc>
        <w:tc>
          <w:tcPr>
            <w:tcW w:w="3514" w:type="dxa"/>
            <w:tcBorders>
              <w:top w:val="nil"/>
              <w:left w:val="nil"/>
              <w:bottom w:val="single" w:sz="6" w:space="0" w:color="000000"/>
              <w:right w:val="single" w:sz="6" w:space="0" w:color="000000"/>
            </w:tcBorders>
            <w:shd w:val="clear" w:color="auto" w:fill="auto"/>
            <w:tcMar>
              <w:top w:w="0" w:type="dxa"/>
              <w:left w:w="100" w:type="dxa"/>
              <w:bottom w:w="0" w:type="dxa"/>
              <w:right w:w="100" w:type="dxa"/>
            </w:tcMar>
          </w:tcPr>
          <w:p w:rsidR="00D35DC7" w:rsidRDefault="00982954">
            <w:pPr>
              <w:shd w:val="clear" w:color="auto" w:fill="FFFFFF"/>
              <w:jc w:val="both"/>
              <w:rPr>
                <w:rFonts w:ascii="Arial" w:eastAsia="Arial" w:hAnsi="Arial" w:cs="Arial"/>
                <w:sz w:val="18"/>
                <w:szCs w:val="18"/>
              </w:rPr>
            </w:pPr>
            <w:r>
              <w:rPr>
                <w:rFonts w:ascii="Arial" w:eastAsia="Arial" w:hAnsi="Arial" w:cs="Arial"/>
                <w:sz w:val="18"/>
                <w:szCs w:val="18"/>
              </w:rPr>
              <w:t>Desarrollar 5 instrumentos de planeación y gestión orientados a la protección, conservación y sostenibilidad del patrimonio natural, inmaterial, material, arqueológico y paleontológico de la ciudad.</w:t>
            </w:r>
          </w:p>
          <w:p w:rsidR="00D35DC7" w:rsidRDefault="00982954">
            <w:pPr>
              <w:shd w:val="clear" w:color="auto" w:fill="FFFFFF"/>
              <w:jc w:val="both"/>
              <w:rPr>
                <w:rFonts w:ascii="Arial" w:eastAsia="Arial" w:hAnsi="Arial" w:cs="Arial"/>
                <w:sz w:val="18"/>
                <w:szCs w:val="18"/>
              </w:rPr>
            </w:pPr>
            <w:r>
              <w:rPr>
                <w:rFonts w:ascii="Arial" w:eastAsia="Arial" w:hAnsi="Arial" w:cs="Arial"/>
                <w:sz w:val="18"/>
                <w:szCs w:val="18"/>
              </w:rPr>
              <w:t xml:space="preserve"> </w:t>
            </w:r>
          </w:p>
          <w:p w:rsidR="00D35DC7" w:rsidRDefault="00982954">
            <w:pPr>
              <w:shd w:val="clear" w:color="auto" w:fill="FFFFFF"/>
              <w:jc w:val="both"/>
              <w:rPr>
                <w:rFonts w:ascii="Arial" w:eastAsia="Arial" w:hAnsi="Arial" w:cs="Arial"/>
                <w:sz w:val="18"/>
                <w:szCs w:val="18"/>
              </w:rPr>
            </w:pPr>
            <w:r>
              <w:rPr>
                <w:rFonts w:ascii="Arial" w:eastAsia="Arial" w:hAnsi="Arial" w:cs="Arial"/>
                <w:sz w:val="18"/>
                <w:szCs w:val="18"/>
              </w:rPr>
              <w:t>Realizar 7.000 asistencias técnicas para la protección del patrimonio cultural material de la ciudad, en el marco de las estrategias relacionadas con la Estructura Integradora de los Patrimonios.</w:t>
            </w:r>
          </w:p>
          <w:p w:rsidR="00D35DC7" w:rsidRDefault="00982954">
            <w:pPr>
              <w:shd w:val="clear" w:color="auto" w:fill="FFFFFF"/>
              <w:jc w:val="both"/>
              <w:rPr>
                <w:rFonts w:ascii="Arial" w:eastAsia="Arial" w:hAnsi="Arial" w:cs="Arial"/>
                <w:sz w:val="18"/>
                <w:szCs w:val="18"/>
              </w:rPr>
            </w:pPr>
            <w:r>
              <w:rPr>
                <w:rFonts w:ascii="Arial" w:eastAsia="Arial" w:hAnsi="Arial" w:cs="Arial"/>
                <w:sz w:val="18"/>
                <w:szCs w:val="18"/>
              </w:rPr>
              <w:t xml:space="preserve"> </w:t>
            </w:r>
          </w:p>
        </w:tc>
      </w:tr>
      <w:tr w:rsidR="00D35DC7">
        <w:trPr>
          <w:trHeight w:val="1545"/>
        </w:trPr>
        <w:tc>
          <w:tcPr>
            <w:tcW w:w="1944" w:type="dxa"/>
            <w:vMerge/>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tcPr>
          <w:p w:rsidR="00D35DC7" w:rsidRDefault="00D35DC7">
            <w:pPr>
              <w:shd w:val="clear" w:color="auto" w:fill="FFFFFF"/>
              <w:spacing w:before="240" w:after="240" w:line="276" w:lineRule="auto"/>
              <w:jc w:val="both"/>
              <w:rPr>
                <w:rFonts w:ascii="Arial" w:eastAsia="Arial" w:hAnsi="Arial" w:cs="Arial"/>
              </w:rPr>
            </w:pPr>
          </w:p>
        </w:tc>
        <w:tc>
          <w:tcPr>
            <w:tcW w:w="3379" w:type="dxa"/>
            <w:tcBorders>
              <w:top w:val="nil"/>
              <w:left w:val="nil"/>
              <w:bottom w:val="single" w:sz="6" w:space="0" w:color="000000"/>
              <w:right w:val="single" w:sz="6" w:space="0" w:color="000000"/>
            </w:tcBorders>
            <w:shd w:val="clear" w:color="auto" w:fill="auto"/>
            <w:tcMar>
              <w:top w:w="0" w:type="dxa"/>
              <w:left w:w="100" w:type="dxa"/>
              <w:bottom w:w="0" w:type="dxa"/>
              <w:right w:w="100" w:type="dxa"/>
            </w:tcMar>
          </w:tcPr>
          <w:p w:rsidR="00D35DC7" w:rsidRDefault="00982954">
            <w:pPr>
              <w:shd w:val="clear" w:color="auto" w:fill="FFFFFF"/>
              <w:jc w:val="both"/>
              <w:rPr>
                <w:rFonts w:ascii="Arial" w:eastAsia="Arial" w:hAnsi="Arial" w:cs="Arial"/>
                <w:sz w:val="18"/>
                <w:szCs w:val="18"/>
              </w:rPr>
            </w:pPr>
            <w:r>
              <w:rPr>
                <w:rFonts w:ascii="Arial" w:eastAsia="Arial" w:hAnsi="Arial" w:cs="Arial"/>
                <w:sz w:val="18"/>
                <w:szCs w:val="18"/>
              </w:rPr>
              <w:t>Artículo 16. Proyectos Estratégicos</w:t>
            </w:r>
          </w:p>
          <w:p w:rsidR="00D35DC7" w:rsidRDefault="00982954">
            <w:pPr>
              <w:shd w:val="clear" w:color="auto" w:fill="FFFFFF"/>
              <w:ind w:left="360"/>
              <w:jc w:val="both"/>
              <w:rPr>
                <w:rFonts w:ascii="Arial" w:eastAsia="Arial" w:hAnsi="Arial" w:cs="Arial"/>
                <w:sz w:val="18"/>
                <w:szCs w:val="18"/>
              </w:rPr>
            </w:pPr>
            <w:r>
              <w:rPr>
                <w:rFonts w:ascii="Arial" w:eastAsia="Arial" w:hAnsi="Arial" w:cs="Arial"/>
                <w:sz w:val="18"/>
                <w:szCs w:val="18"/>
              </w:rPr>
              <w:t>-          Implementación de proyectos derivados de instrumentos de planeamiento y del programa de Hábitat y Vivienda Popular del Plan de Ordenamiento Territorial.</w:t>
            </w:r>
          </w:p>
        </w:tc>
        <w:tc>
          <w:tcPr>
            <w:tcW w:w="3514" w:type="dxa"/>
            <w:tcBorders>
              <w:top w:val="nil"/>
              <w:left w:val="nil"/>
              <w:bottom w:val="single" w:sz="6" w:space="0" w:color="000000"/>
              <w:right w:val="single" w:sz="6" w:space="0" w:color="000000"/>
            </w:tcBorders>
            <w:shd w:val="clear" w:color="auto" w:fill="auto"/>
            <w:tcMar>
              <w:top w:w="0" w:type="dxa"/>
              <w:left w:w="100" w:type="dxa"/>
              <w:bottom w:w="0" w:type="dxa"/>
              <w:right w:w="100" w:type="dxa"/>
            </w:tcMar>
          </w:tcPr>
          <w:p w:rsidR="00D35DC7" w:rsidRDefault="00982954">
            <w:pPr>
              <w:shd w:val="clear" w:color="auto" w:fill="FFFFFF"/>
              <w:jc w:val="both"/>
              <w:rPr>
                <w:rFonts w:ascii="Arial" w:eastAsia="Arial" w:hAnsi="Arial" w:cs="Arial"/>
                <w:sz w:val="18"/>
                <w:szCs w:val="18"/>
              </w:rPr>
            </w:pPr>
            <w:r>
              <w:rPr>
                <w:rFonts w:ascii="Arial" w:eastAsia="Arial" w:hAnsi="Arial" w:cs="Arial"/>
                <w:sz w:val="18"/>
                <w:szCs w:val="18"/>
              </w:rPr>
              <w:t>General a todas las metas del IDPC</w:t>
            </w:r>
          </w:p>
        </w:tc>
      </w:tr>
      <w:tr w:rsidR="00D35DC7">
        <w:trPr>
          <w:trHeight w:val="930"/>
        </w:trPr>
        <w:tc>
          <w:tcPr>
            <w:tcW w:w="1944" w:type="dxa"/>
            <w:vMerge/>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tcPr>
          <w:p w:rsidR="00D35DC7" w:rsidRDefault="00D35DC7">
            <w:pPr>
              <w:shd w:val="clear" w:color="auto" w:fill="FFFFFF"/>
              <w:spacing w:before="240" w:after="240" w:line="276" w:lineRule="auto"/>
              <w:jc w:val="both"/>
              <w:rPr>
                <w:rFonts w:ascii="Arial" w:eastAsia="Arial" w:hAnsi="Arial" w:cs="Arial"/>
              </w:rPr>
            </w:pPr>
          </w:p>
        </w:tc>
        <w:tc>
          <w:tcPr>
            <w:tcW w:w="3379" w:type="dxa"/>
            <w:tcBorders>
              <w:top w:val="nil"/>
              <w:left w:val="nil"/>
              <w:bottom w:val="single" w:sz="6" w:space="0" w:color="000000"/>
              <w:right w:val="single" w:sz="6" w:space="0" w:color="000000"/>
            </w:tcBorders>
            <w:shd w:val="clear" w:color="auto" w:fill="auto"/>
            <w:tcMar>
              <w:top w:w="0" w:type="dxa"/>
              <w:left w:w="100" w:type="dxa"/>
              <w:bottom w:w="0" w:type="dxa"/>
              <w:right w:w="100" w:type="dxa"/>
            </w:tcMar>
          </w:tcPr>
          <w:p w:rsidR="00D35DC7" w:rsidRDefault="00982954">
            <w:pPr>
              <w:shd w:val="clear" w:color="auto" w:fill="FFFFFF"/>
              <w:jc w:val="both"/>
              <w:rPr>
                <w:rFonts w:ascii="Arial" w:eastAsia="Arial" w:hAnsi="Arial" w:cs="Arial"/>
                <w:sz w:val="18"/>
                <w:szCs w:val="18"/>
              </w:rPr>
            </w:pPr>
            <w:r>
              <w:rPr>
                <w:rFonts w:ascii="Arial" w:eastAsia="Arial" w:hAnsi="Arial" w:cs="Arial"/>
                <w:sz w:val="18"/>
                <w:szCs w:val="18"/>
              </w:rPr>
              <w:t>Artículo 37. Incorporación de los planes de acción de instrumentos asociados al</w:t>
            </w:r>
          </w:p>
          <w:p w:rsidR="00D35DC7" w:rsidRDefault="00982954">
            <w:pPr>
              <w:shd w:val="clear" w:color="auto" w:fill="FFFFFF"/>
              <w:jc w:val="both"/>
              <w:rPr>
                <w:rFonts w:ascii="Arial" w:eastAsia="Arial" w:hAnsi="Arial" w:cs="Arial"/>
                <w:sz w:val="18"/>
                <w:szCs w:val="18"/>
              </w:rPr>
            </w:pPr>
            <w:r>
              <w:rPr>
                <w:rFonts w:ascii="Arial" w:eastAsia="Arial" w:hAnsi="Arial" w:cs="Arial"/>
                <w:sz w:val="18"/>
                <w:szCs w:val="18"/>
              </w:rPr>
              <w:t>patrimonio cultural.</w:t>
            </w:r>
          </w:p>
        </w:tc>
        <w:tc>
          <w:tcPr>
            <w:tcW w:w="3514" w:type="dxa"/>
            <w:tcBorders>
              <w:top w:val="nil"/>
              <w:left w:val="nil"/>
              <w:bottom w:val="single" w:sz="6" w:space="0" w:color="000000"/>
              <w:right w:val="single" w:sz="6" w:space="0" w:color="000000"/>
            </w:tcBorders>
            <w:shd w:val="clear" w:color="auto" w:fill="auto"/>
            <w:tcMar>
              <w:top w:w="0" w:type="dxa"/>
              <w:left w:w="100" w:type="dxa"/>
              <w:bottom w:w="0" w:type="dxa"/>
              <w:right w:w="100" w:type="dxa"/>
            </w:tcMar>
          </w:tcPr>
          <w:p w:rsidR="00D35DC7" w:rsidRDefault="00982954">
            <w:pPr>
              <w:shd w:val="clear" w:color="auto" w:fill="FFFFFF"/>
              <w:jc w:val="both"/>
              <w:rPr>
                <w:rFonts w:ascii="Arial" w:eastAsia="Arial" w:hAnsi="Arial" w:cs="Arial"/>
                <w:sz w:val="18"/>
                <w:szCs w:val="18"/>
              </w:rPr>
            </w:pPr>
            <w:r>
              <w:rPr>
                <w:rFonts w:ascii="Arial" w:eastAsia="Arial" w:hAnsi="Arial" w:cs="Arial"/>
                <w:sz w:val="18"/>
                <w:szCs w:val="18"/>
              </w:rPr>
              <w:t>General a todas las metas del IDPC</w:t>
            </w:r>
          </w:p>
        </w:tc>
      </w:tr>
    </w:tbl>
    <w:p w:rsidR="00D35DC7" w:rsidRDefault="00982954">
      <w:pPr>
        <w:shd w:val="clear" w:color="auto" w:fill="FFFFFF"/>
        <w:spacing w:before="240" w:after="240" w:line="276" w:lineRule="auto"/>
        <w:jc w:val="both"/>
        <w:rPr>
          <w:rFonts w:ascii="Arial" w:eastAsia="Arial" w:hAnsi="Arial" w:cs="Arial"/>
          <w:b/>
        </w:rPr>
      </w:pPr>
      <w:r>
        <w:rPr>
          <w:rFonts w:ascii="Arial" w:eastAsia="Arial" w:hAnsi="Arial" w:cs="Arial"/>
          <w:b/>
        </w:rPr>
        <w:t>7. Acciones que garanticen los derechos a la vida, la integridad y la seguridad de los ex combatientes en proceso de reincorporación política, social y/o económica, como sujeto de atención, así como los diagnósticos sobre su situación de riesgo con el objetivo de que se incorporen medidas para garantizar su derecho a la vida e integridad personal.</w:t>
      </w:r>
    </w:p>
    <w:p w:rsidR="00D35DC7" w:rsidRDefault="00982954">
      <w:pPr>
        <w:shd w:val="clear" w:color="auto" w:fill="FFFFFF"/>
        <w:spacing w:before="240" w:after="240" w:line="276" w:lineRule="auto"/>
        <w:jc w:val="both"/>
        <w:rPr>
          <w:rFonts w:ascii="Arial" w:eastAsia="Arial" w:hAnsi="Arial" w:cs="Arial"/>
        </w:rPr>
      </w:pPr>
      <w:r>
        <w:rPr>
          <w:rFonts w:ascii="Arial" w:eastAsia="Arial" w:hAnsi="Arial" w:cs="Arial"/>
        </w:rPr>
        <w:t>Las acciones referentes a la atención de la población en proceso de reincorporación política, económica y social, en el marco de las competencias de la Oficina Consejería Distrital de Paz, Víctimas y Reconciliación de la Secretaría General se encuentran relacionados en el Programa 13 "Bogotá, un territorio de paz y reconciliación donde todos puedan volver a empezar", en la estrategia “Todas y todos con derecho a la misma ciudad”, del Objetivo 2 "Bogotá Confía en su Bien-Estar".</w:t>
      </w:r>
    </w:p>
    <w:p w:rsidR="00D35DC7" w:rsidRDefault="00982954">
      <w:pPr>
        <w:shd w:val="clear" w:color="auto" w:fill="FFFFFF"/>
        <w:spacing w:before="240" w:after="240" w:line="276" w:lineRule="auto"/>
        <w:jc w:val="both"/>
        <w:rPr>
          <w:rFonts w:ascii="Arial" w:eastAsia="Arial" w:hAnsi="Arial" w:cs="Arial"/>
        </w:rPr>
      </w:pPr>
      <w:r>
        <w:rPr>
          <w:rFonts w:ascii="Arial" w:eastAsia="Arial" w:hAnsi="Arial" w:cs="Arial"/>
        </w:rPr>
        <w:t>En este programa el Distrito reconoce que se deben generar estrategias para el fortalecimiento socioeconómico, la integración y la no estigmatización de excombatientes y comparecientes antes la Jurisdicción Especial para la Paz. Para esto se debe generar un esfuerzo de articulación y coordinación interinstitucional para que las personas en proceso de reintegración, reincorporación, personas que hayan culminado alguna de estas rutas, o comparecientes ante la Jurisdicción Especial para la Paz, puedan tener oportunidades de sostenibilidad económica que realmente sean transformadoras e impliquen una segunda oportunidad de reconciliación.</w:t>
      </w:r>
    </w:p>
    <w:p w:rsidR="00D35DC7" w:rsidRDefault="00982954">
      <w:pPr>
        <w:shd w:val="clear" w:color="auto" w:fill="FFFFFF"/>
        <w:spacing w:before="240" w:after="240" w:line="276" w:lineRule="auto"/>
        <w:jc w:val="both"/>
        <w:rPr>
          <w:rFonts w:ascii="Arial" w:eastAsia="Arial" w:hAnsi="Arial" w:cs="Arial"/>
        </w:rPr>
      </w:pPr>
      <w:r>
        <w:rPr>
          <w:rFonts w:ascii="Arial" w:eastAsia="Arial" w:hAnsi="Arial" w:cs="Arial"/>
        </w:rPr>
        <w:t>Estas acciones se encuentran asociadas a la siguiente meta a cargo de la OCPVR:</w:t>
      </w:r>
    </w:p>
    <w:p w:rsidR="00D35DC7" w:rsidRDefault="00982954">
      <w:pPr>
        <w:shd w:val="clear" w:color="auto" w:fill="FFFFFF"/>
        <w:spacing w:before="240" w:after="240" w:line="276" w:lineRule="auto"/>
        <w:jc w:val="both"/>
        <w:rPr>
          <w:rFonts w:ascii="Arial" w:eastAsia="Arial" w:hAnsi="Arial" w:cs="Arial"/>
        </w:rPr>
      </w:pPr>
      <w:r>
        <w:rPr>
          <w:rFonts w:ascii="Arial" w:eastAsia="Arial" w:hAnsi="Arial" w:cs="Arial"/>
        </w:rPr>
        <w:t>Implementar 1 ruta distrital en alianza con el sector privado, para la inclusión laboral y sostenibilidad económica de personas en proceso de reincorporación, reintegración, personas que hayan culminado la ruta de reintegración, o comparecientes ante la JEP.</w:t>
      </w:r>
    </w:p>
    <w:p w:rsidR="00D35DC7" w:rsidRDefault="00982954">
      <w:pPr>
        <w:shd w:val="clear" w:color="auto" w:fill="FFFFFF"/>
        <w:spacing w:before="240" w:after="240" w:line="276" w:lineRule="auto"/>
        <w:jc w:val="both"/>
        <w:rPr>
          <w:rFonts w:ascii="Arial" w:eastAsia="Arial" w:hAnsi="Arial" w:cs="Arial"/>
        </w:rPr>
      </w:pPr>
      <w:r>
        <w:rPr>
          <w:rFonts w:ascii="Arial" w:eastAsia="Arial" w:hAnsi="Arial" w:cs="Arial"/>
        </w:rPr>
        <w:t>Y en una meta a cargo del sector Gobierno:</w:t>
      </w:r>
    </w:p>
    <w:p w:rsidR="00D35DC7" w:rsidRDefault="00982954">
      <w:pPr>
        <w:shd w:val="clear" w:color="auto" w:fill="FFFFFF"/>
        <w:spacing w:before="240" w:after="240" w:line="276" w:lineRule="auto"/>
        <w:jc w:val="both"/>
        <w:rPr>
          <w:rFonts w:ascii="Arial" w:eastAsia="Arial" w:hAnsi="Arial" w:cs="Arial"/>
        </w:rPr>
      </w:pPr>
      <w:r>
        <w:rPr>
          <w:rFonts w:ascii="Arial" w:eastAsia="Arial" w:hAnsi="Arial" w:cs="Arial"/>
        </w:rPr>
        <w:t>Atender el 100% de las personas que ingresan a las rutas prevención de vulneraciones de los derechos humanos de personas de los sectores sociales LGTBIQ+, víctimas de trata de personas, víctimas de abuso de autoridad, defensores y defensoras de derechos humanos, población en proceso de reintegración o reincorporación y a la atención de derechos fundamentales de religión, culto y conciencia.</w:t>
      </w:r>
    </w:p>
    <w:p w:rsidR="00D35DC7" w:rsidRDefault="00982954">
      <w:pPr>
        <w:shd w:val="clear" w:color="auto" w:fill="FFFFFF"/>
        <w:spacing w:before="240" w:after="240" w:line="276" w:lineRule="auto"/>
        <w:jc w:val="both"/>
        <w:rPr>
          <w:rFonts w:ascii="Arial" w:eastAsia="Arial" w:hAnsi="Arial" w:cs="Arial"/>
        </w:rPr>
      </w:pPr>
      <w:r>
        <w:rPr>
          <w:rFonts w:ascii="Arial" w:eastAsia="Arial" w:hAnsi="Arial" w:cs="Arial"/>
        </w:rPr>
        <w:t>Además, se incluyen los artículos 33 y 36 del PDD:</w:t>
      </w:r>
    </w:p>
    <w:p w:rsidR="00D35DC7" w:rsidRDefault="00982954">
      <w:pPr>
        <w:shd w:val="clear" w:color="auto" w:fill="FFFFFF"/>
        <w:spacing w:before="240" w:after="240" w:line="276" w:lineRule="auto"/>
        <w:jc w:val="both"/>
        <w:rPr>
          <w:rFonts w:ascii="Arial" w:eastAsia="Arial" w:hAnsi="Arial" w:cs="Arial"/>
        </w:rPr>
      </w:pPr>
      <w:r>
        <w:rPr>
          <w:rFonts w:ascii="Arial" w:eastAsia="Arial" w:hAnsi="Arial" w:cs="Arial"/>
        </w:rPr>
        <w:t>Artículo 33. Estrategia transversal para territorialización del Acuerdo Final para la Terminación del Conflicto y la Construcción de una Paz Estable y Duradera. En virtud del inciso segundo del artículo transitorio de la Constitución Política, incorporado en el artículo 1º del Acto Legislativo 002 de 2017, la Secretaría General, a través de la Oficina Consejería Distrital de Paz, Víctimas y Reconciliación, ejecutará una estrategia transversal que permita contribuir a la implementación del “Acuerdo Final para la Terminación del Conflicto y la Construcción de una Paz Estable y Duradera”.</w:t>
      </w:r>
    </w:p>
    <w:p w:rsidR="00D35DC7" w:rsidRDefault="00982954">
      <w:pPr>
        <w:shd w:val="clear" w:color="auto" w:fill="FFFFFF"/>
        <w:spacing w:before="240" w:after="240" w:line="276" w:lineRule="auto"/>
        <w:jc w:val="both"/>
        <w:rPr>
          <w:rFonts w:ascii="Arial" w:eastAsia="Arial" w:hAnsi="Arial" w:cs="Arial"/>
        </w:rPr>
      </w:pPr>
      <w:r>
        <w:rPr>
          <w:rFonts w:ascii="Arial" w:eastAsia="Arial" w:hAnsi="Arial" w:cs="Arial"/>
        </w:rPr>
        <w:t>El Gobierno Distrital trabajará de manera articulada y colaborativa con las entidades que hacen parte del Sistema Integral de Verdad, Justicia, Reparación y No Repetición.</w:t>
      </w:r>
    </w:p>
    <w:p w:rsidR="00D35DC7" w:rsidRDefault="00982954">
      <w:pPr>
        <w:shd w:val="clear" w:color="auto" w:fill="FFFFFF"/>
        <w:spacing w:before="240" w:after="240" w:line="276" w:lineRule="auto"/>
        <w:jc w:val="both"/>
        <w:rPr>
          <w:rFonts w:ascii="Arial" w:eastAsia="Arial" w:hAnsi="Arial" w:cs="Arial"/>
        </w:rPr>
      </w:pPr>
      <w:r>
        <w:rPr>
          <w:rFonts w:ascii="Arial" w:eastAsia="Arial" w:hAnsi="Arial" w:cs="Arial"/>
        </w:rPr>
        <w:t>El Gobierno Distrital adecuará las políticas, planes, programas y proyectos restaurativos que sirvan para el desarrollo y sostenibilidad de las sanciones propias y de otras medidas de contribución a la reparación a las víctimas a cargo de los comparecientes ante la JEP que se adelantan en Bogotá y que sean competencia del Distrito.</w:t>
      </w:r>
    </w:p>
    <w:p w:rsidR="00D35DC7" w:rsidRDefault="00982954">
      <w:pPr>
        <w:shd w:val="clear" w:color="auto" w:fill="FFFFFF"/>
        <w:spacing w:before="240" w:after="240" w:line="276" w:lineRule="auto"/>
        <w:jc w:val="both"/>
        <w:rPr>
          <w:rFonts w:ascii="Arial" w:eastAsia="Arial" w:hAnsi="Arial" w:cs="Arial"/>
        </w:rPr>
      </w:pPr>
      <w:r>
        <w:rPr>
          <w:rFonts w:ascii="Arial" w:eastAsia="Arial" w:hAnsi="Arial" w:cs="Arial"/>
        </w:rPr>
        <w:t>Parágrafo 1. Lo adoptado en esta materia tendrá en consideración las garantías de seguridad que faciliten la construcción de paz y de bienes públicos, conforme a lo establecido en el Decreto Ley 154 de 2017.</w:t>
      </w:r>
    </w:p>
    <w:p w:rsidR="00D35DC7" w:rsidRDefault="00982954">
      <w:pPr>
        <w:shd w:val="clear" w:color="auto" w:fill="FFFFFF"/>
        <w:spacing w:before="240" w:after="240" w:line="276" w:lineRule="auto"/>
        <w:jc w:val="both"/>
        <w:rPr>
          <w:rFonts w:ascii="Arial" w:eastAsia="Arial" w:hAnsi="Arial" w:cs="Arial"/>
        </w:rPr>
      </w:pPr>
      <w:r>
        <w:rPr>
          <w:rFonts w:ascii="Arial" w:eastAsia="Arial" w:hAnsi="Arial" w:cs="Arial"/>
        </w:rPr>
        <w:t>Parágrafo 2. En las acciones emprendidas se garantizará la integración del enfoque de género y derechos humanos de las mujeres en cumplimiento de la normativa distrital, nacional e internacional vigente.</w:t>
      </w:r>
    </w:p>
    <w:p w:rsidR="00D35DC7" w:rsidRDefault="00982954">
      <w:pPr>
        <w:shd w:val="clear" w:color="auto" w:fill="FFFFFF"/>
        <w:spacing w:before="240" w:after="240" w:line="276" w:lineRule="auto"/>
        <w:jc w:val="both"/>
        <w:rPr>
          <w:rFonts w:ascii="Arial" w:eastAsia="Arial" w:hAnsi="Arial" w:cs="Arial"/>
        </w:rPr>
      </w:pPr>
      <w:r>
        <w:rPr>
          <w:rFonts w:ascii="Arial" w:eastAsia="Arial" w:hAnsi="Arial" w:cs="Arial"/>
        </w:rPr>
        <w:t>Artículo 36. Ruta socioeconómica para personas en proceso de reincorporación o reintegración. Las entidades distritales, de manera coordinada y armónica, desde el ámbito de sus competencias legales y funcionales, coordinadas por la Secretaría General, a través de la Oficina Consejería Distrital de Paz, Víctimas y Reconciliación, adelantarán acciones que respondan a las necesidades particulares de la ciudad para la implementación de la “ruta socioeconómica para personas en proceso de reincorporación, reintegración, personas que hayan culminado la ruta de reintegración o comparecientes ante la JEP”.</w:t>
      </w:r>
    </w:p>
    <w:p w:rsidR="00D35DC7" w:rsidRDefault="00982954">
      <w:pPr>
        <w:shd w:val="clear" w:color="auto" w:fill="FFFFFF"/>
        <w:spacing w:before="240" w:after="240" w:line="276" w:lineRule="auto"/>
        <w:jc w:val="both"/>
        <w:rPr>
          <w:rFonts w:ascii="Arial" w:eastAsia="Arial" w:hAnsi="Arial" w:cs="Arial"/>
        </w:rPr>
      </w:pPr>
      <w:r>
        <w:rPr>
          <w:rFonts w:ascii="Arial" w:eastAsia="Arial" w:hAnsi="Arial" w:cs="Arial"/>
        </w:rPr>
        <w:t>8. Inclusión de los derechos de los niños, las niñas, los adolescentes, los jóvenes, las mujeres, la familia, las personas mayores y las personas con discapacidad en el plan de desarrollo.</w:t>
      </w:r>
    </w:p>
    <w:p w:rsidR="00D35DC7" w:rsidRDefault="00982954">
      <w:pPr>
        <w:shd w:val="clear" w:color="auto" w:fill="FFFFFF"/>
        <w:spacing w:before="240" w:after="240" w:line="276" w:lineRule="auto"/>
        <w:jc w:val="both"/>
        <w:rPr>
          <w:rFonts w:ascii="Arial" w:eastAsia="Arial" w:hAnsi="Arial" w:cs="Arial"/>
        </w:rPr>
      </w:pPr>
      <w:r>
        <w:rPr>
          <w:rFonts w:ascii="Arial" w:eastAsia="Arial" w:hAnsi="Arial" w:cs="Arial"/>
        </w:rPr>
        <w:t xml:space="preserve">El plan de desarrollo Bogotá Camina Segura considera como punto de partida el enfoque de Derechos Humanos, ya que dirige la atención al desarrollo de acciones que garanticen de forma progresiva los derechos de las personas para integrar en las prácticas del desarrollo, los principios éticos y legales inherentes a los derechos humanos con énfasis en la vida libre y plena en sociedad, respetando y valorando las diferencias y la diversidad (Plan de desarrollo Bogotá Camina Segura, pág. 24). </w:t>
      </w:r>
    </w:p>
    <w:p w:rsidR="00D35DC7" w:rsidRDefault="00982954">
      <w:pPr>
        <w:shd w:val="clear" w:color="auto" w:fill="FFFFFF"/>
        <w:spacing w:before="240" w:after="240" w:line="276" w:lineRule="auto"/>
        <w:jc w:val="both"/>
        <w:rPr>
          <w:rFonts w:ascii="Arial" w:eastAsia="Arial" w:hAnsi="Arial" w:cs="Arial"/>
        </w:rPr>
      </w:pPr>
      <w:r>
        <w:rPr>
          <w:rFonts w:ascii="Arial" w:eastAsia="Arial" w:hAnsi="Arial" w:cs="Arial"/>
        </w:rPr>
        <w:t>Con base en lo anterior, la Secretaría de Integración Social estableció una serie de metas que contribuyan a la garantía de derechos de su población objetivo en articulación con las políticas públicas que lidera y a las que aporta desde su misionalidad y a la normatividad vigente.</w:t>
      </w:r>
    </w:p>
    <w:p w:rsidR="00D35DC7" w:rsidRDefault="00982954">
      <w:pPr>
        <w:shd w:val="clear" w:color="auto" w:fill="FFFFFF"/>
        <w:spacing w:before="240" w:after="240" w:line="276" w:lineRule="auto"/>
        <w:jc w:val="both"/>
        <w:rPr>
          <w:rFonts w:ascii="Arial" w:eastAsia="Arial" w:hAnsi="Arial" w:cs="Arial"/>
        </w:rPr>
      </w:pPr>
      <w:r>
        <w:rPr>
          <w:rFonts w:ascii="Arial" w:eastAsia="Arial" w:hAnsi="Arial" w:cs="Arial"/>
        </w:rPr>
        <w:t xml:space="preserve">Derecho de los niños, las niñas y adolescentes </w:t>
      </w:r>
    </w:p>
    <w:p w:rsidR="00D35DC7" w:rsidRDefault="00982954">
      <w:pPr>
        <w:shd w:val="clear" w:color="auto" w:fill="FFFFFF"/>
        <w:spacing w:before="240" w:after="240" w:line="276" w:lineRule="auto"/>
        <w:jc w:val="both"/>
        <w:rPr>
          <w:rFonts w:ascii="Arial" w:eastAsia="Arial" w:hAnsi="Arial" w:cs="Arial"/>
        </w:rPr>
      </w:pPr>
      <w:r>
        <w:rPr>
          <w:rFonts w:ascii="Arial" w:eastAsia="Arial" w:hAnsi="Arial" w:cs="Arial"/>
        </w:rPr>
        <w:t>Las acciones que se definen en el plan de desarrollo para la atención a niñas, niños y adolescentes se enmarcan en primer lugar, en la Convención Universal sobre los Derechos del Niño en 1989. Esta convención fue aprobada por Colombia mediante la Ley 12 de 1991 y se ratifica en el artículo 44 de la Constitución Política de Colombia de 1991 en el que se reconoce a las niñas, niños y adolescentes como sujetos de derechos. Además, existe la Ley 1098 de 2006 de Infancia y Adolescencia que establece el interés superior del niño, obliga al Estado y a las instancias nacionales y territoriales a garantizar la protección integral y la garantía de los derechos de la infancia y la adolescencia, se obliga a todos los niveles de la institucionalidad a crear políticas, planes y programas que protejan y garanticen el goce efectivo de los derechos de la población entre los 0 y los 17 años.</w:t>
      </w:r>
    </w:p>
    <w:p w:rsidR="00D35DC7" w:rsidRDefault="00982954">
      <w:pPr>
        <w:shd w:val="clear" w:color="auto" w:fill="FFFFFF"/>
        <w:spacing w:before="240" w:after="240" w:line="276" w:lineRule="auto"/>
        <w:jc w:val="both"/>
        <w:rPr>
          <w:rFonts w:ascii="Arial" w:eastAsia="Arial" w:hAnsi="Arial" w:cs="Arial"/>
        </w:rPr>
      </w:pPr>
      <w:r>
        <w:rPr>
          <w:rFonts w:ascii="Arial" w:eastAsia="Arial" w:hAnsi="Arial" w:cs="Arial"/>
        </w:rPr>
        <w:t>Además, se considera la ley 1804 de 2016 que establece la política de Estado para el Desarrollo Integral de la Primera Infancia de Cero a Siempre. En 2023 se expidió el Acuerdo Distrital 887 de 2023, “Por medio del cual se declara a Bogotá D.C como “La ciudad de las niñas, niños y adolescentes”. El Acuerdo tiene por objeto promover y fortalecer las acciones y escenarios de participación incidente, empoderamiento y diálogo social de las niñas, niños y adolescentes en el Distrito Capital, a través del reconocimiento de su capacidad ciudadana, su diversidad y el desarrollo de iniciativas transformadoras en escenarios como la familia, la escuela, el barrio, la administración pública y organizaciones sociales, comunitarias, comunales, e instancias de primera infancia e Infancia y adolescencia, con enfoque rural, poblacional, diferencial y de género.</w:t>
      </w:r>
    </w:p>
    <w:p w:rsidR="00D35DC7" w:rsidRDefault="00982954">
      <w:pPr>
        <w:shd w:val="clear" w:color="auto" w:fill="FFFFFF"/>
        <w:spacing w:before="240" w:after="240" w:line="276" w:lineRule="auto"/>
        <w:jc w:val="both"/>
        <w:rPr>
          <w:rFonts w:ascii="Arial" w:eastAsia="Arial" w:hAnsi="Arial" w:cs="Arial"/>
        </w:rPr>
      </w:pPr>
      <w:r>
        <w:rPr>
          <w:rFonts w:ascii="Arial" w:eastAsia="Arial" w:hAnsi="Arial" w:cs="Arial"/>
        </w:rPr>
        <w:t>Esta normativa y el detalle del avance normativo para la garantía de los derechos de niñas, niños y adolescentes, es considerado en la Política Pública de Primera Infancia, Infancia y Adolescencia 2023-2033 establecida en el Conpes 27 de 2023.</w:t>
      </w:r>
    </w:p>
    <w:p w:rsidR="00D35DC7" w:rsidRDefault="00982954">
      <w:pPr>
        <w:shd w:val="clear" w:color="auto" w:fill="FFFFFF"/>
        <w:spacing w:before="240" w:after="240" w:line="276" w:lineRule="auto"/>
        <w:jc w:val="both"/>
        <w:rPr>
          <w:rFonts w:ascii="Arial" w:eastAsia="Arial" w:hAnsi="Arial" w:cs="Arial"/>
        </w:rPr>
      </w:pPr>
      <w:r>
        <w:rPr>
          <w:rFonts w:ascii="Arial" w:eastAsia="Arial" w:hAnsi="Arial" w:cs="Arial"/>
        </w:rPr>
        <w:t>Bajo esta articulación de normas e instrumentos de planeación, la Secretaría de Integración Social definió las siguientes metas:</w:t>
      </w:r>
    </w:p>
    <w:p w:rsidR="00D35DC7" w:rsidRDefault="00D35DC7">
      <w:pPr>
        <w:shd w:val="clear" w:color="auto" w:fill="FFFFFF"/>
        <w:spacing w:before="240" w:after="240" w:line="276" w:lineRule="auto"/>
        <w:jc w:val="both"/>
        <w:rPr>
          <w:rFonts w:ascii="Arial" w:eastAsia="Arial" w:hAnsi="Arial" w:cs="Arial"/>
        </w:rPr>
      </w:pPr>
    </w:p>
    <w:p w:rsidR="00D35DC7" w:rsidRDefault="00D35DC7">
      <w:pPr>
        <w:shd w:val="clear" w:color="auto" w:fill="FFFFFF"/>
        <w:spacing w:before="240" w:after="240" w:line="276" w:lineRule="auto"/>
        <w:jc w:val="both"/>
        <w:rPr>
          <w:rFonts w:ascii="Arial" w:eastAsia="Arial" w:hAnsi="Arial" w:cs="Arial"/>
        </w:rPr>
      </w:pPr>
    </w:p>
    <w:tbl>
      <w:tblPr>
        <w:tblStyle w:val="a4"/>
        <w:tblW w:w="8820"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2010"/>
        <w:gridCol w:w="2010"/>
        <w:gridCol w:w="4800"/>
      </w:tblGrid>
      <w:tr w:rsidR="00D35DC7">
        <w:trPr>
          <w:trHeight w:val="300"/>
        </w:trPr>
        <w:tc>
          <w:tcPr>
            <w:tcW w:w="2010" w:type="dxa"/>
            <w:tcBorders>
              <w:top w:val="single" w:sz="6" w:space="0" w:color="000000"/>
              <w:left w:val="single" w:sz="6" w:space="0" w:color="000000"/>
              <w:bottom w:val="single" w:sz="6" w:space="0" w:color="000000"/>
              <w:right w:val="single" w:sz="6" w:space="0" w:color="000000"/>
            </w:tcBorders>
            <w:shd w:val="clear" w:color="auto" w:fill="FFFFFF"/>
            <w:tcMar>
              <w:top w:w="0" w:type="dxa"/>
              <w:left w:w="100" w:type="dxa"/>
              <w:bottom w:w="0" w:type="dxa"/>
              <w:right w:w="100" w:type="dxa"/>
            </w:tcMar>
          </w:tcPr>
          <w:p w:rsidR="00D35DC7" w:rsidRDefault="00982954">
            <w:pPr>
              <w:shd w:val="clear" w:color="auto" w:fill="FFFFFF"/>
              <w:jc w:val="center"/>
              <w:rPr>
                <w:rFonts w:ascii="Arial" w:eastAsia="Arial" w:hAnsi="Arial" w:cs="Arial"/>
                <w:b/>
                <w:sz w:val="18"/>
                <w:szCs w:val="18"/>
              </w:rPr>
            </w:pPr>
            <w:r>
              <w:rPr>
                <w:rFonts w:ascii="Arial" w:eastAsia="Arial" w:hAnsi="Arial" w:cs="Arial"/>
                <w:b/>
                <w:sz w:val="18"/>
                <w:szCs w:val="18"/>
              </w:rPr>
              <w:t>Objetivo</w:t>
            </w:r>
          </w:p>
        </w:tc>
        <w:tc>
          <w:tcPr>
            <w:tcW w:w="2010" w:type="dxa"/>
            <w:tcBorders>
              <w:top w:val="single" w:sz="6" w:space="0" w:color="000000"/>
              <w:left w:val="nil"/>
              <w:bottom w:val="single" w:sz="6" w:space="0" w:color="000000"/>
              <w:right w:val="single" w:sz="6" w:space="0" w:color="000000"/>
            </w:tcBorders>
            <w:shd w:val="clear" w:color="auto" w:fill="FFFFFF"/>
            <w:tcMar>
              <w:top w:w="0" w:type="dxa"/>
              <w:left w:w="100" w:type="dxa"/>
              <w:bottom w:w="0" w:type="dxa"/>
              <w:right w:w="100" w:type="dxa"/>
            </w:tcMar>
          </w:tcPr>
          <w:p w:rsidR="00D35DC7" w:rsidRDefault="00982954">
            <w:pPr>
              <w:shd w:val="clear" w:color="auto" w:fill="FFFFFF"/>
              <w:jc w:val="center"/>
              <w:rPr>
                <w:rFonts w:ascii="Arial" w:eastAsia="Arial" w:hAnsi="Arial" w:cs="Arial"/>
                <w:b/>
                <w:sz w:val="18"/>
                <w:szCs w:val="18"/>
              </w:rPr>
            </w:pPr>
            <w:r>
              <w:rPr>
                <w:rFonts w:ascii="Arial" w:eastAsia="Arial" w:hAnsi="Arial" w:cs="Arial"/>
                <w:b/>
                <w:sz w:val="18"/>
                <w:szCs w:val="18"/>
              </w:rPr>
              <w:t>Programa</w:t>
            </w:r>
          </w:p>
        </w:tc>
        <w:tc>
          <w:tcPr>
            <w:tcW w:w="4800" w:type="dxa"/>
            <w:tcBorders>
              <w:top w:val="single" w:sz="6" w:space="0" w:color="000000"/>
              <w:left w:val="nil"/>
              <w:bottom w:val="single" w:sz="6" w:space="0" w:color="000000"/>
              <w:right w:val="single" w:sz="6" w:space="0" w:color="000000"/>
            </w:tcBorders>
            <w:shd w:val="clear" w:color="auto" w:fill="FFFFFF"/>
            <w:tcMar>
              <w:top w:w="0" w:type="dxa"/>
              <w:left w:w="100" w:type="dxa"/>
              <w:bottom w:w="0" w:type="dxa"/>
              <w:right w:w="100" w:type="dxa"/>
            </w:tcMar>
          </w:tcPr>
          <w:p w:rsidR="00D35DC7" w:rsidRDefault="00982954">
            <w:pPr>
              <w:shd w:val="clear" w:color="auto" w:fill="FFFFFF"/>
              <w:jc w:val="center"/>
              <w:rPr>
                <w:rFonts w:ascii="Arial" w:eastAsia="Arial" w:hAnsi="Arial" w:cs="Arial"/>
                <w:b/>
                <w:sz w:val="18"/>
                <w:szCs w:val="18"/>
              </w:rPr>
            </w:pPr>
            <w:r>
              <w:rPr>
                <w:rFonts w:ascii="Arial" w:eastAsia="Arial" w:hAnsi="Arial" w:cs="Arial"/>
                <w:b/>
                <w:sz w:val="18"/>
                <w:szCs w:val="18"/>
              </w:rPr>
              <w:t>Meta propuesta</w:t>
            </w:r>
          </w:p>
        </w:tc>
      </w:tr>
      <w:tr w:rsidR="00D35DC7">
        <w:trPr>
          <w:trHeight w:val="6270"/>
        </w:trPr>
        <w:tc>
          <w:tcPr>
            <w:tcW w:w="201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rsidR="00D35DC7" w:rsidRDefault="00982954">
            <w:pPr>
              <w:shd w:val="clear" w:color="auto" w:fill="FFFFFF"/>
              <w:spacing w:before="240" w:after="240" w:line="276" w:lineRule="auto"/>
              <w:jc w:val="both"/>
              <w:rPr>
                <w:rFonts w:ascii="Arial" w:eastAsia="Arial" w:hAnsi="Arial" w:cs="Arial"/>
                <w:sz w:val="18"/>
                <w:szCs w:val="18"/>
              </w:rPr>
            </w:pPr>
            <w:r>
              <w:rPr>
                <w:rFonts w:ascii="Arial" w:eastAsia="Arial" w:hAnsi="Arial" w:cs="Arial"/>
                <w:sz w:val="18"/>
                <w:szCs w:val="18"/>
              </w:rPr>
              <w:t>Objetivo 3. Bogotá Confía en su potencial.</w:t>
            </w:r>
          </w:p>
        </w:tc>
        <w:tc>
          <w:tcPr>
            <w:tcW w:w="2010" w:type="dxa"/>
            <w:tcBorders>
              <w:top w:val="nil"/>
              <w:left w:val="nil"/>
              <w:bottom w:val="single" w:sz="6" w:space="0" w:color="000000"/>
              <w:right w:val="single" w:sz="6" w:space="0" w:color="000000"/>
            </w:tcBorders>
            <w:tcMar>
              <w:top w:w="0" w:type="dxa"/>
              <w:left w:w="100" w:type="dxa"/>
              <w:bottom w:w="0" w:type="dxa"/>
              <w:right w:w="100" w:type="dxa"/>
            </w:tcMar>
          </w:tcPr>
          <w:p w:rsidR="00D35DC7" w:rsidRDefault="00982954">
            <w:pPr>
              <w:shd w:val="clear" w:color="auto" w:fill="FFFFFF"/>
              <w:spacing w:before="240" w:after="240" w:line="276" w:lineRule="auto"/>
              <w:jc w:val="both"/>
              <w:rPr>
                <w:rFonts w:ascii="Arial" w:eastAsia="Arial" w:hAnsi="Arial" w:cs="Arial"/>
                <w:sz w:val="18"/>
                <w:szCs w:val="18"/>
              </w:rPr>
            </w:pPr>
            <w:r>
              <w:rPr>
                <w:rFonts w:ascii="Arial" w:eastAsia="Arial" w:hAnsi="Arial" w:cs="Arial"/>
                <w:sz w:val="18"/>
                <w:szCs w:val="18"/>
              </w:rPr>
              <w:t>Programa 16. La educación como eje de potencial humano.</w:t>
            </w:r>
          </w:p>
          <w:p w:rsidR="00D35DC7" w:rsidRDefault="00982954">
            <w:pPr>
              <w:shd w:val="clear" w:color="auto" w:fill="FFFFFF"/>
              <w:spacing w:before="240" w:after="240" w:line="276" w:lineRule="auto"/>
              <w:jc w:val="both"/>
              <w:rPr>
                <w:rFonts w:ascii="Arial" w:eastAsia="Arial" w:hAnsi="Arial" w:cs="Arial"/>
                <w:sz w:val="18"/>
                <w:szCs w:val="18"/>
              </w:rPr>
            </w:pPr>
            <w:r>
              <w:rPr>
                <w:rFonts w:ascii="Arial" w:eastAsia="Arial" w:hAnsi="Arial" w:cs="Arial"/>
                <w:sz w:val="18"/>
                <w:szCs w:val="18"/>
              </w:rPr>
              <w:t xml:space="preserve"> </w:t>
            </w:r>
          </w:p>
        </w:tc>
        <w:tc>
          <w:tcPr>
            <w:tcW w:w="4800" w:type="dxa"/>
            <w:tcBorders>
              <w:top w:val="nil"/>
              <w:left w:val="nil"/>
              <w:bottom w:val="single" w:sz="6" w:space="0" w:color="000000"/>
              <w:right w:val="single" w:sz="6" w:space="0" w:color="000000"/>
            </w:tcBorders>
            <w:tcMar>
              <w:top w:w="0" w:type="dxa"/>
              <w:left w:w="100" w:type="dxa"/>
              <w:bottom w:w="0" w:type="dxa"/>
              <w:right w:w="100" w:type="dxa"/>
            </w:tcMar>
          </w:tcPr>
          <w:p w:rsidR="00D35DC7" w:rsidRDefault="00982954">
            <w:pPr>
              <w:shd w:val="clear" w:color="auto" w:fill="FFFFFF"/>
              <w:spacing w:before="240" w:after="240" w:line="276" w:lineRule="auto"/>
              <w:jc w:val="both"/>
              <w:rPr>
                <w:rFonts w:ascii="Arial" w:eastAsia="Arial" w:hAnsi="Arial" w:cs="Arial"/>
                <w:sz w:val="18"/>
                <w:szCs w:val="18"/>
              </w:rPr>
            </w:pPr>
            <w:r>
              <w:rPr>
                <w:rFonts w:ascii="Arial" w:eastAsia="Arial" w:hAnsi="Arial" w:cs="Arial"/>
                <w:sz w:val="18"/>
                <w:szCs w:val="18"/>
              </w:rPr>
              <w:t>Aumentar en 30.000 el número de niñas y niños de 0 a 5 años con servicios en el marco de la atención integral.</w:t>
            </w:r>
          </w:p>
          <w:p w:rsidR="00D35DC7" w:rsidRDefault="00982954">
            <w:pPr>
              <w:shd w:val="clear" w:color="auto" w:fill="FFFFFF"/>
              <w:spacing w:before="240" w:after="240" w:line="276" w:lineRule="auto"/>
              <w:jc w:val="both"/>
              <w:rPr>
                <w:rFonts w:ascii="Arial" w:eastAsia="Arial" w:hAnsi="Arial" w:cs="Arial"/>
                <w:sz w:val="18"/>
                <w:szCs w:val="18"/>
              </w:rPr>
            </w:pPr>
            <w:r>
              <w:rPr>
                <w:rFonts w:ascii="Arial" w:eastAsia="Arial" w:hAnsi="Arial" w:cs="Arial"/>
                <w:sz w:val="18"/>
                <w:szCs w:val="18"/>
              </w:rPr>
              <w:t>Implementar un (1) sistema de aseguramiento de la calidad para la atención a la primera infancia de prestadores públicos y privados en el marco de la atención integral.</w:t>
            </w:r>
          </w:p>
          <w:p w:rsidR="00D35DC7" w:rsidRDefault="00982954">
            <w:pPr>
              <w:shd w:val="clear" w:color="auto" w:fill="FFFFFF"/>
              <w:spacing w:before="240" w:after="240" w:line="276" w:lineRule="auto"/>
              <w:jc w:val="both"/>
              <w:rPr>
                <w:rFonts w:ascii="Arial" w:eastAsia="Arial" w:hAnsi="Arial" w:cs="Arial"/>
                <w:sz w:val="18"/>
                <w:szCs w:val="18"/>
              </w:rPr>
            </w:pPr>
            <w:r>
              <w:rPr>
                <w:rFonts w:ascii="Arial" w:eastAsia="Arial" w:hAnsi="Arial" w:cs="Arial"/>
                <w:sz w:val="18"/>
                <w:szCs w:val="18"/>
              </w:rPr>
              <w:t>Implementar un (1) sistema de seguimiento niño a niño y niña a niña para la atención integral a la primera infancia.</w:t>
            </w:r>
          </w:p>
          <w:p w:rsidR="00D35DC7" w:rsidRDefault="00982954">
            <w:pPr>
              <w:shd w:val="clear" w:color="auto" w:fill="FFFFFF"/>
              <w:spacing w:before="240" w:after="240" w:line="276" w:lineRule="auto"/>
              <w:jc w:val="both"/>
              <w:rPr>
                <w:rFonts w:ascii="Arial" w:eastAsia="Arial" w:hAnsi="Arial" w:cs="Arial"/>
                <w:sz w:val="18"/>
                <w:szCs w:val="18"/>
              </w:rPr>
            </w:pPr>
            <w:r>
              <w:rPr>
                <w:rFonts w:ascii="Arial" w:eastAsia="Arial" w:hAnsi="Arial" w:cs="Arial"/>
                <w:sz w:val="18"/>
                <w:szCs w:val="18"/>
              </w:rPr>
              <w:t>Contar con dos (2) Centros Abrazar para la atención de niñas, niños y adolescentes provenientes de flujos migratorios mixtos en situación de riesgo de vulneración de derechos y sus familias.</w:t>
            </w:r>
          </w:p>
          <w:p w:rsidR="00D35DC7" w:rsidRDefault="00982954">
            <w:pPr>
              <w:shd w:val="clear" w:color="auto" w:fill="FFFFFF"/>
              <w:spacing w:before="240" w:after="240" w:line="276" w:lineRule="auto"/>
              <w:jc w:val="both"/>
              <w:rPr>
                <w:rFonts w:ascii="Arial" w:eastAsia="Arial" w:hAnsi="Arial" w:cs="Arial"/>
                <w:sz w:val="18"/>
                <w:szCs w:val="18"/>
              </w:rPr>
            </w:pPr>
            <w:r>
              <w:rPr>
                <w:rFonts w:ascii="Arial" w:eastAsia="Arial" w:hAnsi="Arial" w:cs="Arial"/>
                <w:sz w:val="18"/>
                <w:szCs w:val="18"/>
              </w:rPr>
              <w:t>Implementar una (1) estrategia para la promoción de derechos prevención y atención de violencia y abuso sexual en niñas niños y adolescentes.</w:t>
            </w:r>
          </w:p>
          <w:p w:rsidR="00D35DC7" w:rsidRDefault="00982954">
            <w:pPr>
              <w:shd w:val="clear" w:color="auto" w:fill="FFFFFF"/>
              <w:spacing w:before="240" w:after="240" w:line="276" w:lineRule="auto"/>
              <w:jc w:val="both"/>
              <w:rPr>
                <w:rFonts w:ascii="Arial" w:eastAsia="Arial" w:hAnsi="Arial" w:cs="Arial"/>
                <w:sz w:val="18"/>
                <w:szCs w:val="18"/>
              </w:rPr>
            </w:pPr>
            <w:r>
              <w:rPr>
                <w:rFonts w:ascii="Arial" w:eastAsia="Arial" w:hAnsi="Arial" w:cs="Arial"/>
                <w:sz w:val="18"/>
                <w:szCs w:val="18"/>
              </w:rPr>
              <w:t>Atender 5.588 niñas niños adolescentes y jóvenes en situación de vida en calle en riesgo de habitarla en dinámicas de calle y en fragilidad social en los procesos de protección y atención integral del modelo pedagógico del IDIPRON.</w:t>
            </w:r>
          </w:p>
        </w:tc>
      </w:tr>
    </w:tbl>
    <w:p w:rsidR="00D35DC7" w:rsidRDefault="00D35DC7">
      <w:pPr>
        <w:shd w:val="clear" w:color="auto" w:fill="FFFFFF"/>
        <w:spacing w:before="240" w:after="240" w:line="276" w:lineRule="auto"/>
        <w:jc w:val="both"/>
        <w:rPr>
          <w:rFonts w:ascii="Arial" w:eastAsia="Arial" w:hAnsi="Arial" w:cs="Arial"/>
        </w:rPr>
      </w:pPr>
    </w:p>
    <w:p w:rsidR="00D35DC7" w:rsidRDefault="00982954">
      <w:pPr>
        <w:shd w:val="clear" w:color="auto" w:fill="FFFFFF"/>
        <w:spacing w:before="240" w:after="240" w:line="276" w:lineRule="auto"/>
        <w:jc w:val="both"/>
        <w:rPr>
          <w:rFonts w:ascii="Arial" w:eastAsia="Arial" w:hAnsi="Arial" w:cs="Arial"/>
          <w:b/>
        </w:rPr>
      </w:pPr>
      <w:r>
        <w:rPr>
          <w:rFonts w:ascii="Arial" w:eastAsia="Arial" w:hAnsi="Arial" w:cs="Arial"/>
          <w:b/>
        </w:rPr>
        <w:t>Derecho de los jóvenes</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La definición de las metas para la población joven de la ciudad en el Plan de Desarrollo Bogotá Camina Segura, contempla la ley estatutaria 1885 de 2018 que como ciudadanía juvenil el ejercicio de los derechos y deberes de los jóvenes en el marco de sus relaciones con otros jóvenes, la sociedad y el Estado. La exigibilidad de los derechos y el cumplimiento de los deberes estará referido a las tres dimensiones de la ciudadanía: civil, social y pública. Así mismo, se tiene en cuenta la política pública de Juventud 2019-2030 establecida en el Conpes 08 de 2019 que tiene como objetivo ampliar las oportunidades, individuales y colectivas, de las juventudes para que puedan elegir lo que quieren ser y hacer hacia la construcción de proyectos de vida.</w:t>
      </w:r>
    </w:p>
    <w:p w:rsidR="00D35DC7" w:rsidRDefault="00982954">
      <w:pPr>
        <w:shd w:val="clear" w:color="auto" w:fill="FFFFFF"/>
        <w:spacing w:before="240" w:after="240" w:line="276" w:lineRule="auto"/>
        <w:jc w:val="both"/>
        <w:rPr>
          <w:rFonts w:ascii="Arial" w:eastAsia="Arial" w:hAnsi="Arial" w:cs="Arial"/>
        </w:rPr>
      </w:pPr>
      <w:r>
        <w:rPr>
          <w:rFonts w:ascii="Arial" w:eastAsia="Arial" w:hAnsi="Arial" w:cs="Arial"/>
        </w:rPr>
        <w:t>En este sentido, se definieron las siguientes metas en el plan de desarrollo Bogotá Camina Segura:</w:t>
      </w:r>
    </w:p>
    <w:tbl>
      <w:tblPr>
        <w:tblStyle w:val="a5"/>
        <w:tblW w:w="8838"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2004"/>
        <w:gridCol w:w="2018"/>
        <w:gridCol w:w="4816"/>
      </w:tblGrid>
      <w:tr w:rsidR="00D35DC7">
        <w:trPr>
          <w:trHeight w:val="300"/>
        </w:trPr>
        <w:tc>
          <w:tcPr>
            <w:tcW w:w="2003" w:type="dxa"/>
            <w:tcBorders>
              <w:top w:val="single" w:sz="6" w:space="0" w:color="000000"/>
              <w:left w:val="single" w:sz="6" w:space="0" w:color="000000"/>
              <w:bottom w:val="single" w:sz="6" w:space="0" w:color="000000"/>
              <w:right w:val="single" w:sz="6" w:space="0" w:color="000000"/>
            </w:tcBorders>
            <w:shd w:val="clear" w:color="auto" w:fill="FFFFFF"/>
            <w:tcMar>
              <w:top w:w="0" w:type="dxa"/>
              <w:left w:w="100" w:type="dxa"/>
              <w:bottom w:w="0" w:type="dxa"/>
              <w:right w:w="100" w:type="dxa"/>
            </w:tcMar>
          </w:tcPr>
          <w:p w:rsidR="00D35DC7" w:rsidRDefault="00982954">
            <w:pPr>
              <w:pBdr>
                <w:top w:val="nil"/>
                <w:left w:val="nil"/>
                <w:bottom w:val="nil"/>
                <w:right w:val="nil"/>
                <w:between w:val="nil"/>
              </w:pBdr>
              <w:shd w:val="clear" w:color="auto" w:fill="FFFFFF"/>
              <w:jc w:val="center"/>
              <w:rPr>
                <w:rFonts w:ascii="Arial" w:eastAsia="Arial" w:hAnsi="Arial" w:cs="Arial"/>
                <w:b/>
                <w:sz w:val="18"/>
                <w:szCs w:val="18"/>
              </w:rPr>
            </w:pPr>
            <w:r>
              <w:rPr>
                <w:rFonts w:ascii="Arial" w:eastAsia="Arial" w:hAnsi="Arial" w:cs="Arial"/>
                <w:b/>
                <w:sz w:val="18"/>
                <w:szCs w:val="18"/>
              </w:rPr>
              <w:t>Objetivo</w:t>
            </w:r>
          </w:p>
        </w:tc>
        <w:tc>
          <w:tcPr>
            <w:tcW w:w="2018" w:type="dxa"/>
            <w:tcBorders>
              <w:top w:val="single" w:sz="6" w:space="0" w:color="000000"/>
              <w:left w:val="nil"/>
              <w:bottom w:val="single" w:sz="6" w:space="0" w:color="000000"/>
              <w:right w:val="single" w:sz="6" w:space="0" w:color="000000"/>
            </w:tcBorders>
            <w:shd w:val="clear" w:color="auto" w:fill="FFFFFF"/>
            <w:tcMar>
              <w:top w:w="0" w:type="dxa"/>
              <w:left w:w="100" w:type="dxa"/>
              <w:bottom w:w="0" w:type="dxa"/>
              <w:right w:w="100" w:type="dxa"/>
            </w:tcMar>
          </w:tcPr>
          <w:p w:rsidR="00D35DC7" w:rsidRDefault="00982954">
            <w:pPr>
              <w:pBdr>
                <w:top w:val="nil"/>
                <w:left w:val="nil"/>
                <w:bottom w:val="nil"/>
                <w:right w:val="nil"/>
                <w:between w:val="nil"/>
              </w:pBdr>
              <w:shd w:val="clear" w:color="auto" w:fill="FFFFFF"/>
              <w:jc w:val="center"/>
              <w:rPr>
                <w:rFonts w:ascii="Arial" w:eastAsia="Arial" w:hAnsi="Arial" w:cs="Arial"/>
                <w:b/>
                <w:sz w:val="18"/>
                <w:szCs w:val="18"/>
              </w:rPr>
            </w:pPr>
            <w:r>
              <w:rPr>
                <w:rFonts w:ascii="Arial" w:eastAsia="Arial" w:hAnsi="Arial" w:cs="Arial"/>
                <w:b/>
                <w:sz w:val="18"/>
                <w:szCs w:val="18"/>
              </w:rPr>
              <w:t>Programa</w:t>
            </w:r>
          </w:p>
        </w:tc>
        <w:tc>
          <w:tcPr>
            <w:tcW w:w="4815" w:type="dxa"/>
            <w:tcBorders>
              <w:top w:val="single" w:sz="6" w:space="0" w:color="000000"/>
              <w:left w:val="nil"/>
              <w:bottom w:val="single" w:sz="6" w:space="0" w:color="000000"/>
              <w:right w:val="single" w:sz="6" w:space="0" w:color="000000"/>
            </w:tcBorders>
            <w:shd w:val="clear" w:color="auto" w:fill="FFFFFF"/>
            <w:tcMar>
              <w:top w:w="0" w:type="dxa"/>
              <w:left w:w="100" w:type="dxa"/>
              <w:bottom w:w="0" w:type="dxa"/>
              <w:right w:w="100" w:type="dxa"/>
            </w:tcMar>
          </w:tcPr>
          <w:p w:rsidR="00D35DC7" w:rsidRDefault="00982954">
            <w:pPr>
              <w:pBdr>
                <w:top w:val="nil"/>
                <w:left w:val="nil"/>
                <w:bottom w:val="nil"/>
                <w:right w:val="nil"/>
                <w:between w:val="nil"/>
              </w:pBdr>
              <w:shd w:val="clear" w:color="auto" w:fill="FFFFFF"/>
              <w:jc w:val="center"/>
              <w:rPr>
                <w:rFonts w:ascii="Arial" w:eastAsia="Arial" w:hAnsi="Arial" w:cs="Arial"/>
                <w:b/>
                <w:sz w:val="18"/>
                <w:szCs w:val="18"/>
              </w:rPr>
            </w:pPr>
            <w:r>
              <w:rPr>
                <w:rFonts w:ascii="Arial" w:eastAsia="Arial" w:hAnsi="Arial" w:cs="Arial"/>
                <w:b/>
                <w:sz w:val="18"/>
                <w:szCs w:val="18"/>
              </w:rPr>
              <w:t>Meta propuesta</w:t>
            </w:r>
          </w:p>
        </w:tc>
      </w:tr>
      <w:tr w:rsidR="00D35DC7">
        <w:trPr>
          <w:trHeight w:val="995"/>
        </w:trPr>
        <w:tc>
          <w:tcPr>
            <w:tcW w:w="2003" w:type="dxa"/>
            <w:vMerge w:val="restart"/>
            <w:tcBorders>
              <w:top w:val="nil"/>
              <w:left w:val="single" w:sz="6" w:space="0" w:color="000000"/>
              <w:bottom w:val="single" w:sz="6" w:space="0" w:color="000000"/>
              <w:right w:val="single" w:sz="6" w:space="0" w:color="000000"/>
            </w:tcBorders>
            <w:tcMar>
              <w:top w:w="0" w:type="dxa"/>
              <w:left w:w="100" w:type="dxa"/>
              <w:bottom w:w="0" w:type="dxa"/>
              <w:right w:w="100" w:type="dxa"/>
            </w:tcMar>
          </w:tcPr>
          <w:p w:rsidR="00D35DC7" w:rsidRDefault="00982954">
            <w:pPr>
              <w:shd w:val="clear" w:color="auto" w:fill="FFFFFF"/>
              <w:spacing w:before="240" w:after="240"/>
              <w:jc w:val="both"/>
              <w:rPr>
                <w:rFonts w:ascii="Arial" w:eastAsia="Arial" w:hAnsi="Arial" w:cs="Arial"/>
                <w:sz w:val="18"/>
                <w:szCs w:val="18"/>
              </w:rPr>
            </w:pPr>
            <w:r>
              <w:rPr>
                <w:rFonts w:ascii="Arial" w:eastAsia="Arial" w:hAnsi="Arial" w:cs="Arial"/>
                <w:sz w:val="18"/>
                <w:szCs w:val="18"/>
              </w:rPr>
              <w:t>Objetivo 2. Bogotá confía en su bien-estar.</w:t>
            </w:r>
          </w:p>
        </w:tc>
        <w:tc>
          <w:tcPr>
            <w:tcW w:w="2018" w:type="dxa"/>
            <w:tcBorders>
              <w:top w:val="nil"/>
              <w:left w:val="nil"/>
              <w:bottom w:val="single" w:sz="6" w:space="0" w:color="000000"/>
              <w:right w:val="single" w:sz="6" w:space="0" w:color="000000"/>
            </w:tcBorders>
            <w:tcMar>
              <w:top w:w="0" w:type="dxa"/>
              <w:left w:w="100" w:type="dxa"/>
              <w:bottom w:w="0" w:type="dxa"/>
              <w:right w:w="100" w:type="dxa"/>
            </w:tcMar>
          </w:tcPr>
          <w:p w:rsidR="00D35DC7" w:rsidRDefault="00982954">
            <w:pPr>
              <w:shd w:val="clear" w:color="auto" w:fill="FFFFFF"/>
              <w:spacing w:before="240" w:after="240"/>
              <w:jc w:val="both"/>
              <w:rPr>
                <w:rFonts w:ascii="Arial" w:eastAsia="Arial" w:hAnsi="Arial" w:cs="Arial"/>
                <w:sz w:val="18"/>
                <w:szCs w:val="18"/>
              </w:rPr>
            </w:pPr>
            <w:r>
              <w:rPr>
                <w:rFonts w:ascii="Arial" w:eastAsia="Arial" w:hAnsi="Arial" w:cs="Arial"/>
                <w:sz w:val="18"/>
                <w:szCs w:val="18"/>
              </w:rPr>
              <w:t>Programa 7: Bogotá, una ciudad con menos pobreza</w:t>
            </w:r>
          </w:p>
        </w:tc>
        <w:tc>
          <w:tcPr>
            <w:tcW w:w="4815" w:type="dxa"/>
            <w:tcBorders>
              <w:top w:val="nil"/>
              <w:left w:val="nil"/>
              <w:bottom w:val="single" w:sz="6" w:space="0" w:color="000000"/>
              <w:right w:val="single" w:sz="6" w:space="0" w:color="000000"/>
            </w:tcBorders>
            <w:tcMar>
              <w:top w:w="0" w:type="dxa"/>
              <w:left w:w="100" w:type="dxa"/>
              <w:bottom w:w="0" w:type="dxa"/>
              <w:right w:w="100" w:type="dxa"/>
            </w:tcMar>
          </w:tcPr>
          <w:p w:rsidR="00D35DC7" w:rsidRDefault="00982954">
            <w:pPr>
              <w:shd w:val="clear" w:color="auto" w:fill="FFFFFF"/>
              <w:spacing w:before="240" w:after="240"/>
              <w:jc w:val="both"/>
              <w:rPr>
                <w:rFonts w:ascii="Arial" w:eastAsia="Arial" w:hAnsi="Arial" w:cs="Arial"/>
                <w:sz w:val="18"/>
                <w:szCs w:val="18"/>
              </w:rPr>
            </w:pPr>
            <w:r>
              <w:rPr>
                <w:rFonts w:ascii="Arial" w:eastAsia="Arial" w:hAnsi="Arial" w:cs="Arial"/>
                <w:sz w:val="18"/>
                <w:szCs w:val="18"/>
              </w:rPr>
              <w:t>Beneficiar 40.000 jóvenes con transferencias monetarias condicionadas con enfoque diferencial y de género en el marco de una ruta de inclusión productiva.</w:t>
            </w:r>
          </w:p>
        </w:tc>
      </w:tr>
      <w:tr w:rsidR="00D35DC7">
        <w:trPr>
          <w:trHeight w:val="3285"/>
        </w:trPr>
        <w:tc>
          <w:tcPr>
            <w:tcW w:w="2003" w:type="dxa"/>
            <w:vMerge/>
            <w:tcBorders>
              <w:top w:val="nil"/>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tcPr>
          <w:p w:rsidR="00D35DC7" w:rsidRDefault="00D35DC7">
            <w:pPr>
              <w:shd w:val="clear" w:color="auto" w:fill="FFFFFF"/>
              <w:spacing w:before="240" w:after="240" w:line="276" w:lineRule="auto"/>
              <w:jc w:val="both"/>
              <w:rPr>
                <w:rFonts w:ascii="Arial" w:eastAsia="Arial" w:hAnsi="Arial" w:cs="Arial"/>
              </w:rPr>
            </w:pPr>
          </w:p>
        </w:tc>
        <w:tc>
          <w:tcPr>
            <w:tcW w:w="2018" w:type="dxa"/>
            <w:tcBorders>
              <w:top w:val="nil"/>
              <w:left w:val="nil"/>
              <w:bottom w:val="single" w:sz="6" w:space="0" w:color="000000"/>
              <w:right w:val="single" w:sz="6" w:space="0" w:color="000000"/>
            </w:tcBorders>
            <w:shd w:val="clear" w:color="auto" w:fill="auto"/>
            <w:tcMar>
              <w:top w:w="0" w:type="dxa"/>
              <w:left w:w="100" w:type="dxa"/>
              <w:bottom w:w="0" w:type="dxa"/>
              <w:right w:w="100" w:type="dxa"/>
            </w:tcMar>
          </w:tcPr>
          <w:p w:rsidR="00D35DC7" w:rsidRDefault="00982954">
            <w:pPr>
              <w:shd w:val="clear" w:color="auto" w:fill="FFFFFF"/>
              <w:spacing w:before="240" w:after="240"/>
              <w:jc w:val="both"/>
              <w:rPr>
                <w:rFonts w:ascii="Arial" w:eastAsia="Arial" w:hAnsi="Arial" w:cs="Arial"/>
                <w:sz w:val="18"/>
                <w:szCs w:val="18"/>
              </w:rPr>
            </w:pPr>
            <w:r>
              <w:rPr>
                <w:rFonts w:ascii="Arial" w:eastAsia="Arial" w:hAnsi="Arial" w:cs="Arial"/>
                <w:sz w:val="18"/>
                <w:szCs w:val="18"/>
              </w:rPr>
              <w:t>Programa 12: Bogotá cuida a su gente</w:t>
            </w:r>
          </w:p>
        </w:tc>
        <w:tc>
          <w:tcPr>
            <w:tcW w:w="4815" w:type="dxa"/>
            <w:tcBorders>
              <w:top w:val="nil"/>
              <w:left w:val="nil"/>
              <w:bottom w:val="single" w:sz="6" w:space="0" w:color="000000"/>
              <w:right w:val="single" w:sz="6" w:space="0" w:color="000000"/>
            </w:tcBorders>
            <w:shd w:val="clear" w:color="auto" w:fill="auto"/>
            <w:tcMar>
              <w:top w:w="0" w:type="dxa"/>
              <w:left w:w="100" w:type="dxa"/>
              <w:bottom w:w="0" w:type="dxa"/>
              <w:right w:w="100" w:type="dxa"/>
            </w:tcMar>
          </w:tcPr>
          <w:p w:rsidR="00D35DC7" w:rsidRDefault="00982954">
            <w:pPr>
              <w:shd w:val="clear" w:color="auto" w:fill="FFFFFF"/>
              <w:spacing w:before="240" w:after="240"/>
              <w:jc w:val="both"/>
              <w:rPr>
                <w:rFonts w:ascii="Arial" w:eastAsia="Arial" w:hAnsi="Arial" w:cs="Arial"/>
                <w:sz w:val="18"/>
                <w:szCs w:val="18"/>
              </w:rPr>
            </w:pPr>
            <w:r>
              <w:rPr>
                <w:rFonts w:ascii="Arial" w:eastAsia="Arial" w:hAnsi="Arial" w:cs="Arial"/>
                <w:sz w:val="18"/>
                <w:szCs w:val="18"/>
              </w:rPr>
              <w:t>Atender a 150.000 jóvenes en los servicios sociales en unidades operativas y estrategias de inclusión social y productiva.</w:t>
            </w:r>
          </w:p>
          <w:p w:rsidR="00D35DC7" w:rsidRDefault="00982954">
            <w:pPr>
              <w:shd w:val="clear" w:color="auto" w:fill="FFFFFF"/>
              <w:spacing w:before="240" w:after="240"/>
              <w:jc w:val="both"/>
              <w:rPr>
                <w:rFonts w:ascii="Arial" w:eastAsia="Arial" w:hAnsi="Arial" w:cs="Arial"/>
                <w:sz w:val="18"/>
                <w:szCs w:val="18"/>
              </w:rPr>
            </w:pPr>
            <w:r>
              <w:rPr>
                <w:rFonts w:ascii="Arial" w:eastAsia="Arial" w:hAnsi="Arial" w:cs="Arial"/>
                <w:sz w:val="18"/>
                <w:szCs w:val="18"/>
              </w:rPr>
              <w:t>Beneficiar 15.000 jóvenes a través de la oferta de servicios del Sistema Distrital de Cuidado.</w:t>
            </w:r>
          </w:p>
          <w:p w:rsidR="00D35DC7" w:rsidRDefault="00982954">
            <w:pPr>
              <w:shd w:val="clear" w:color="auto" w:fill="FFFFFF"/>
              <w:spacing w:before="240" w:after="240"/>
              <w:jc w:val="both"/>
              <w:rPr>
                <w:rFonts w:ascii="Arial" w:eastAsia="Arial" w:hAnsi="Arial" w:cs="Arial"/>
                <w:sz w:val="18"/>
                <w:szCs w:val="18"/>
              </w:rPr>
            </w:pPr>
            <w:r>
              <w:rPr>
                <w:rFonts w:ascii="Arial" w:eastAsia="Arial" w:hAnsi="Arial" w:cs="Arial"/>
                <w:sz w:val="18"/>
                <w:szCs w:val="18"/>
              </w:rPr>
              <w:t>Operar 20 Casas de Juventud en las localidades del Distrito.</w:t>
            </w:r>
          </w:p>
          <w:p w:rsidR="00D35DC7" w:rsidRDefault="00982954">
            <w:pPr>
              <w:shd w:val="clear" w:color="auto" w:fill="FFFFFF"/>
              <w:spacing w:before="240" w:after="240"/>
              <w:jc w:val="both"/>
              <w:rPr>
                <w:rFonts w:ascii="Arial" w:eastAsia="Arial" w:hAnsi="Arial" w:cs="Arial"/>
                <w:sz w:val="18"/>
                <w:szCs w:val="18"/>
              </w:rPr>
            </w:pPr>
            <w:r>
              <w:rPr>
                <w:rFonts w:ascii="Arial" w:eastAsia="Arial" w:hAnsi="Arial" w:cs="Arial"/>
                <w:sz w:val="18"/>
                <w:szCs w:val="18"/>
              </w:rPr>
              <w:t>Beneficiar a 2.480 adolescentes y jóvenes participantes del modelo pedagógico a estrategias de desarrollo de capacidades y generación de oportunidades para su inclusión socioeconómica.</w:t>
            </w:r>
          </w:p>
        </w:tc>
      </w:tr>
    </w:tbl>
    <w:p w:rsidR="00D35DC7" w:rsidRDefault="00982954">
      <w:pPr>
        <w:shd w:val="clear" w:color="auto" w:fill="FFFFFF"/>
        <w:spacing w:before="240" w:after="240" w:line="276" w:lineRule="auto"/>
        <w:jc w:val="both"/>
        <w:rPr>
          <w:rFonts w:ascii="Arial" w:eastAsia="Arial" w:hAnsi="Arial" w:cs="Arial"/>
          <w:b/>
        </w:rPr>
      </w:pPr>
      <w:r>
        <w:rPr>
          <w:rFonts w:ascii="Arial" w:eastAsia="Arial" w:hAnsi="Arial" w:cs="Arial"/>
          <w:b/>
        </w:rPr>
        <w:t>Mujeres</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Las acciones orientadas en el nuevo plan de desarrollo a las mujeres de la ciudad están enmarcadas en la ley 51 de 1981, por medio de la cual se aprueba la Convención sobre la eliminación de todas las formas de discriminación contra la mujer, adoptada por la Asamblea General de las Naciones Unidas el 18 de diciembre de 1979. Con base en este hito, Colombia y Bogotá han avanzado en la generación de normas que buscan reconocer, garantizar y proteger los derechos humanos de las mujeres en todas sus diversidades. Este marco normativo lo tiene en cuenta la Política Pública de Mujeres y Equidad de género 2020-2030, Conpes 14 de 2021, a la cual le aporta la Secretaría de Integración Social desde su misionalidad.</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Ahora bien, el Plan de Desarrollo Bogotá Camina Segura, adopta como una de las categorías del enfoque de derechos humanos, el género, entendido como la construcción social y cultural que determina roles, conductas, atributos y oportunidades diferenciadas entre hombres y mujeres. Esta categoría permite analizar dichas diferencias para reducir brechas.</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Con base en lo anterior, esta Secretaría definió sus metas plan de desarrollo aplicando el enfoque de género con el fin de beneficiar a toda la población pobre y vulnerable de la ciudad incluyendo las mujeres de la ciudad. Por esta razón, pese a que se definan metas desde el enfoque etario o diferencial, se tiene en cuenta el enfoque de género para facilitar el acceso de las mujeres a los diferentes servicios sociales de la Entidad en los cuales se materializarán las metas establecidas.</w:t>
      </w:r>
    </w:p>
    <w:p w:rsidR="00D35DC7" w:rsidRDefault="00D35DC7">
      <w:pPr>
        <w:shd w:val="clear" w:color="auto" w:fill="FFFFFF"/>
        <w:spacing w:before="240" w:after="240" w:line="360" w:lineRule="auto"/>
        <w:jc w:val="both"/>
        <w:rPr>
          <w:rFonts w:ascii="Arial" w:eastAsia="Arial" w:hAnsi="Arial" w:cs="Arial"/>
        </w:rPr>
      </w:pPr>
    </w:p>
    <w:p w:rsidR="00D35DC7" w:rsidRDefault="00982954">
      <w:pPr>
        <w:shd w:val="clear" w:color="auto" w:fill="FFFFFF"/>
        <w:spacing w:before="240" w:after="240" w:line="276" w:lineRule="auto"/>
        <w:jc w:val="both"/>
        <w:rPr>
          <w:rFonts w:ascii="Arial" w:eastAsia="Arial" w:hAnsi="Arial" w:cs="Arial"/>
          <w:b/>
        </w:rPr>
      </w:pPr>
      <w:r>
        <w:rPr>
          <w:rFonts w:ascii="Arial" w:eastAsia="Arial" w:hAnsi="Arial" w:cs="Arial"/>
          <w:b/>
        </w:rPr>
        <w:t>Familias</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La Constitución Política de 1991, en sus artículos 5° y 42° concibe la Familia como institución y núcleo fundamental de la sociedad, reconociendo en ella una serie de principios y derechos propios del colectivo familiar y atribuyéndole la facultad de ser un grupo titular de derechos. Así mismo, la ley 1361 de 2009 contempla como deber del Estado proveer a las familias y a sus integrantes, herramientas para potenciar sus recursos afectivos, económicos, culturales, de solidaridad y criterios de autoridad democrática, de manera que los programas de atención a la familia y a sus miembros prioricen su unidad y la activación de recursos para que funcione como el instrumento protector por excelencia de sus integrantes.</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Así mismo, las acciones orientadas a las familias de Bogotá tienen en cuenta la ley 2126 de 2021 a través de la cual se otorgan  herramientas a las Comisarías de Familia para gestionar su diseño institucional y para facilitar, ampliar y garantizar el acceso a la justicia por medio de la atención especializada e interdisciplinaria, con el fin de prevenir, proteger, restablecer, reparar y garantizar los derechos de quienes estén en riesgo, sean o hayan sido víctimas de violencia por razones de género en el contexto familiar y víctimas de otras violencias en el contexto familiar.</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Teniendo en cuenta lo anterior, la Secretaría de Integración Social lidera la Política Pública para las Familias cuyo objetivo es garantizar los derechos de las familias, en el marco del Estado Social de Derecho, a través del reconocimiento de su diversidad, la transformación de patrones culturales hegemónicos y excluyentes, la promoción de relaciones democráticas y el diseño de estrategias que contribuyan a su seguridad económica y social, para la construcción de una sociedad justa y equitativa.</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Atendiendo a lo anterior, en el marco del plan de desarrollo Bogotá Camina Segura se establecieron las siguientes metas:</w:t>
      </w:r>
    </w:p>
    <w:tbl>
      <w:tblPr>
        <w:tblStyle w:val="a6"/>
        <w:tblW w:w="8838"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2000"/>
        <w:gridCol w:w="2015"/>
        <w:gridCol w:w="4823"/>
      </w:tblGrid>
      <w:tr w:rsidR="00D35DC7">
        <w:trPr>
          <w:trHeight w:val="300"/>
        </w:trPr>
        <w:tc>
          <w:tcPr>
            <w:tcW w:w="20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00" w:type="dxa"/>
              <w:bottom w:w="0" w:type="dxa"/>
              <w:right w:w="100" w:type="dxa"/>
            </w:tcMar>
          </w:tcPr>
          <w:p w:rsidR="00D35DC7" w:rsidRDefault="00982954">
            <w:pPr>
              <w:shd w:val="clear" w:color="auto" w:fill="FFFFFF"/>
              <w:spacing w:before="240" w:after="240"/>
              <w:jc w:val="center"/>
              <w:rPr>
                <w:rFonts w:ascii="Arial" w:eastAsia="Arial" w:hAnsi="Arial" w:cs="Arial"/>
                <w:b/>
                <w:sz w:val="18"/>
                <w:szCs w:val="18"/>
              </w:rPr>
            </w:pPr>
            <w:r>
              <w:rPr>
                <w:rFonts w:ascii="Arial" w:eastAsia="Arial" w:hAnsi="Arial" w:cs="Arial"/>
                <w:b/>
                <w:sz w:val="18"/>
                <w:szCs w:val="18"/>
              </w:rPr>
              <w:t>Objetivo</w:t>
            </w:r>
          </w:p>
        </w:tc>
        <w:tc>
          <w:tcPr>
            <w:tcW w:w="2015" w:type="dxa"/>
            <w:tcBorders>
              <w:top w:val="single" w:sz="6" w:space="0" w:color="000000"/>
              <w:left w:val="nil"/>
              <w:bottom w:val="single" w:sz="6" w:space="0" w:color="000000"/>
              <w:right w:val="single" w:sz="6" w:space="0" w:color="000000"/>
            </w:tcBorders>
            <w:shd w:val="clear" w:color="auto" w:fill="FFFFFF"/>
            <w:tcMar>
              <w:top w:w="0" w:type="dxa"/>
              <w:left w:w="100" w:type="dxa"/>
              <w:bottom w:w="0" w:type="dxa"/>
              <w:right w:w="100" w:type="dxa"/>
            </w:tcMar>
          </w:tcPr>
          <w:p w:rsidR="00D35DC7" w:rsidRDefault="00982954">
            <w:pPr>
              <w:shd w:val="clear" w:color="auto" w:fill="FFFFFF"/>
              <w:spacing w:before="240" w:after="240"/>
              <w:jc w:val="center"/>
              <w:rPr>
                <w:rFonts w:ascii="Arial" w:eastAsia="Arial" w:hAnsi="Arial" w:cs="Arial"/>
                <w:b/>
                <w:sz w:val="18"/>
                <w:szCs w:val="18"/>
              </w:rPr>
            </w:pPr>
            <w:r>
              <w:rPr>
                <w:rFonts w:ascii="Arial" w:eastAsia="Arial" w:hAnsi="Arial" w:cs="Arial"/>
                <w:b/>
                <w:sz w:val="18"/>
                <w:szCs w:val="18"/>
              </w:rPr>
              <w:t>Programa</w:t>
            </w:r>
          </w:p>
        </w:tc>
        <w:tc>
          <w:tcPr>
            <w:tcW w:w="4822" w:type="dxa"/>
            <w:tcBorders>
              <w:top w:val="single" w:sz="6" w:space="0" w:color="000000"/>
              <w:left w:val="nil"/>
              <w:bottom w:val="single" w:sz="6" w:space="0" w:color="000000"/>
              <w:right w:val="single" w:sz="6" w:space="0" w:color="000000"/>
            </w:tcBorders>
            <w:shd w:val="clear" w:color="auto" w:fill="FFFFFF"/>
            <w:tcMar>
              <w:top w:w="0" w:type="dxa"/>
              <w:left w:w="100" w:type="dxa"/>
              <w:bottom w:w="0" w:type="dxa"/>
              <w:right w:w="100" w:type="dxa"/>
            </w:tcMar>
          </w:tcPr>
          <w:p w:rsidR="00D35DC7" w:rsidRDefault="00982954">
            <w:pPr>
              <w:shd w:val="clear" w:color="auto" w:fill="FFFFFF"/>
              <w:spacing w:before="240" w:after="240"/>
              <w:jc w:val="center"/>
              <w:rPr>
                <w:rFonts w:ascii="Arial" w:eastAsia="Arial" w:hAnsi="Arial" w:cs="Arial"/>
                <w:b/>
                <w:sz w:val="18"/>
                <w:szCs w:val="18"/>
              </w:rPr>
            </w:pPr>
            <w:r>
              <w:rPr>
                <w:rFonts w:ascii="Arial" w:eastAsia="Arial" w:hAnsi="Arial" w:cs="Arial"/>
                <w:b/>
                <w:sz w:val="18"/>
                <w:szCs w:val="18"/>
              </w:rPr>
              <w:t>Meta propuesta</w:t>
            </w:r>
          </w:p>
        </w:tc>
      </w:tr>
      <w:tr w:rsidR="00D35DC7">
        <w:trPr>
          <w:trHeight w:val="465"/>
        </w:trPr>
        <w:tc>
          <w:tcPr>
            <w:tcW w:w="2000" w:type="dxa"/>
            <w:tcBorders>
              <w:top w:val="nil"/>
              <w:left w:val="single" w:sz="6" w:space="0" w:color="000000"/>
              <w:bottom w:val="single" w:sz="6" w:space="0" w:color="000000"/>
              <w:right w:val="single" w:sz="6" w:space="0" w:color="000000"/>
            </w:tcBorders>
            <w:shd w:val="clear" w:color="auto" w:fill="auto"/>
            <w:tcMar>
              <w:top w:w="0" w:type="dxa"/>
              <w:left w:w="100" w:type="dxa"/>
              <w:bottom w:w="0" w:type="dxa"/>
              <w:right w:w="100" w:type="dxa"/>
            </w:tcMar>
          </w:tcPr>
          <w:p w:rsidR="00D35DC7" w:rsidRDefault="00982954">
            <w:pPr>
              <w:shd w:val="clear" w:color="auto" w:fill="FFFFFF"/>
              <w:spacing w:before="240" w:after="240" w:line="276" w:lineRule="auto"/>
              <w:jc w:val="both"/>
              <w:rPr>
                <w:rFonts w:ascii="Arial" w:eastAsia="Arial" w:hAnsi="Arial" w:cs="Arial"/>
                <w:sz w:val="18"/>
                <w:szCs w:val="18"/>
              </w:rPr>
            </w:pPr>
            <w:r>
              <w:rPr>
                <w:rFonts w:ascii="Arial" w:eastAsia="Arial" w:hAnsi="Arial" w:cs="Arial"/>
                <w:sz w:val="18"/>
                <w:szCs w:val="18"/>
              </w:rPr>
              <w:t>Objetivo 1. Bogotá avanza en seguridad</w:t>
            </w:r>
          </w:p>
        </w:tc>
        <w:tc>
          <w:tcPr>
            <w:tcW w:w="2015" w:type="dxa"/>
            <w:tcBorders>
              <w:top w:val="nil"/>
              <w:left w:val="nil"/>
              <w:bottom w:val="single" w:sz="6" w:space="0" w:color="000000"/>
              <w:right w:val="single" w:sz="6" w:space="0" w:color="000000"/>
            </w:tcBorders>
            <w:shd w:val="clear" w:color="auto" w:fill="auto"/>
            <w:tcMar>
              <w:top w:w="0" w:type="dxa"/>
              <w:left w:w="100" w:type="dxa"/>
              <w:bottom w:w="0" w:type="dxa"/>
              <w:right w:w="100" w:type="dxa"/>
            </w:tcMar>
          </w:tcPr>
          <w:p w:rsidR="00D35DC7" w:rsidRDefault="00982954">
            <w:pPr>
              <w:shd w:val="clear" w:color="auto" w:fill="FFFFFF"/>
              <w:spacing w:before="240" w:after="240" w:line="276" w:lineRule="auto"/>
              <w:jc w:val="both"/>
              <w:rPr>
                <w:rFonts w:ascii="Arial" w:eastAsia="Arial" w:hAnsi="Arial" w:cs="Arial"/>
                <w:sz w:val="18"/>
                <w:szCs w:val="18"/>
              </w:rPr>
            </w:pPr>
            <w:r>
              <w:rPr>
                <w:rFonts w:ascii="Arial" w:eastAsia="Arial" w:hAnsi="Arial" w:cs="Arial"/>
                <w:sz w:val="18"/>
                <w:szCs w:val="18"/>
              </w:rPr>
              <w:t>Programa 4: Servicios centrados en la justicia</w:t>
            </w:r>
          </w:p>
        </w:tc>
        <w:tc>
          <w:tcPr>
            <w:tcW w:w="4822" w:type="dxa"/>
            <w:tcBorders>
              <w:top w:val="nil"/>
              <w:left w:val="nil"/>
              <w:bottom w:val="single" w:sz="6" w:space="0" w:color="000000"/>
              <w:right w:val="single" w:sz="6" w:space="0" w:color="000000"/>
            </w:tcBorders>
            <w:shd w:val="clear" w:color="auto" w:fill="auto"/>
            <w:tcMar>
              <w:top w:w="0" w:type="dxa"/>
              <w:left w:w="100" w:type="dxa"/>
              <w:bottom w:w="0" w:type="dxa"/>
              <w:right w:w="100" w:type="dxa"/>
            </w:tcMar>
          </w:tcPr>
          <w:p w:rsidR="00D35DC7" w:rsidRDefault="00982954">
            <w:pPr>
              <w:shd w:val="clear" w:color="auto" w:fill="FFFFFF"/>
              <w:spacing w:before="240" w:after="240" w:line="276" w:lineRule="auto"/>
              <w:jc w:val="both"/>
              <w:rPr>
                <w:rFonts w:ascii="Arial" w:eastAsia="Arial" w:hAnsi="Arial" w:cs="Arial"/>
                <w:sz w:val="18"/>
                <w:szCs w:val="18"/>
              </w:rPr>
            </w:pPr>
            <w:r>
              <w:rPr>
                <w:rFonts w:ascii="Arial" w:eastAsia="Arial" w:hAnsi="Arial" w:cs="Arial"/>
                <w:sz w:val="18"/>
                <w:szCs w:val="18"/>
              </w:rPr>
              <w:t>Llegar a 67 equipos interdisciplinarios para las Comisarías de Familia en Bogotá de acuerdo con la ley 2126 de 2021.</w:t>
            </w:r>
          </w:p>
        </w:tc>
      </w:tr>
      <w:tr w:rsidR="00D35DC7">
        <w:trPr>
          <w:trHeight w:val="690"/>
        </w:trPr>
        <w:tc>
          <w:tcPr>
            <w:tcW w:w="2000" w:type="dxa"/>
            <w:tcBorders>
              <w:top w:val="nil"/>
              <w:left w:val="single" w:sz="6" w:space="0" w:color="000000"/>
              <w:bottom w:val="single" w:sz="6" w:space="0" w:color="000000"/>
              <w:right w:val="single" w:sz="6" w:space="0" w:color="000000"/>
            </w:tcBorders>
            <w:shd w:val="clear" w:color="auto" w:fill="auto"/>
            <w:tcMar>
              <w:top w:w="0" w:type="dxa"/>
              <w:left w:w="100" w:type="dxa"/>
              <w:bottom w:w="0" w:type="dxa"/>
              <w:right w:w="100" w:type="dxa"/>
            </w:tcMar>
          </w:tcPr>
          <w:p w:rsidR="00D35DC7" w:rsidRDefault="00982954">
            <w:pPr>
              <w:shd w:val="clear" w:color="auto" w:fill="FFFFFF"/>
              <w:spacing w:before="240" w:after="240" w:line="276" w:lineRule="auto"/>
              <w:jc w:val="both"/>
              <w:rPr>
                <w:rFonts w:ascii="Arial" w:eastAsia="Arial" w:hAnsi="Arial" w:cs="Arial"/>
                <w:sz w:val="18"/>
                <w:szCs w:val="18"/>
              </w:rPr>
            </w:pPr>
            <w:r>
              <w:rPr>
                <w:rFonts w:ascii="Arial" w:eastAsia="Arial" w:hAnsi="Arial" w:cs="Arial"/>
                <w:sz w:val="18"/>
                <w:szCs w:val="18"/>
              </w:rPr>
              <w:t>Objetivo 2. Bogotá confía en su bien-estar.</w:t>
            </w:r>
          </w:p>
        </w:tc>
        <w:tc>
          <w:tcPr>
            <w:tcW w:w="2015" w:type="dxa"/>
            <w:tcBorders>
              <w:top w:val="nil"/>
              <w:left w:val="nil"/>
              <w:bottom w:val="single" w:sz="6" w:space="0" w:color="000000"/>
              <w:right w:val="single" w:sz="6" w:space="0" w:color="000000"/>
            </w:tcBorders>
            <w:shd w:val="clear" w:color="auto" w:fill="auto"/>
            <w:tcMar>
              <w:top w:w="0" w:type="dxa"/>
              <w:left w:w="100" w:type="dxa"/>
              <w:bottom w:w="0" w:type="dxa"/>
              <w:right w:w="100" w:type="dxa"/>
            </w:tcMar>
          </w:tcPr>
          <w:p w:rsidR="00D35DC7" w:rsidRDefault="00982954">
            <w:pPr>
              <w:shd w:val="clear" w:color="auto" w:fill="FFFFFF"/>
              <w:spacing w:before="240" w:after="240" w:line="276" w:lineRule="auto"/>
              <w:jc w:val="both"/>
              <w:rPr>
                <w:rFonts w:ascii="Arial" w:eastAsia="Arial" w:hAnsi="Arial" w:cs="Arial"/>
                <w:sz w:val="18"/>
                <w:szCs w:val="18"/>
              </w:rPr>
            </w:pPr>
            <w:r>
              <w:rPr>
                <w:rFonts w:ascii="Arial" w:eastAsia="Arial" w:hAnsi="Arial" w:cs="Arial"/>
                <w:sz w:val="18"/>
                <w:szCs w:val="18"/>
              </w:rPr>
              <w:t>Programa 12: Bogotá cuida a su gente</w:t>
            </w:r>
          </w:p>
        </w:tc>
        <w:tc>
          <w:tcPr>
            <w:tcW w:w="4822" w:type="dxa"/>
            <w:tcBorders>
              <w:top w:val="nil"/>
              <w:left w:val="nil"/>
              <w:bottom w:val="single" w:sz="6" w:space="0" w:color="000000"/>
              <w:right w:val="single" w:sz="6" w:space="0" w:color="000000"/>
            </w:tcBorders>
            <w:shd w:val="clear" w:color="auto" w:fill="auto"/>
            <w:tcMar>
              <w:top w:w="0" w:type="dxa"/>
              <w:left w:w="100" w:type="dxa"/>
              <w:bottom w:w="0" w:type="dxa"/>
              <w:right w:w="100" w:type="dxa"/>
            </w:tcMar>
          </w:tcPr>
          <w:p w:rsidR="00D35DC7" w:rsidRDefault="00982954">
            <w:pPr>
              <w:shd w:val="clear" w:color="auto" w:fill="FFFFFF"/>
              <w:spacing w:before="240" w:after="240" w:line="276" w:lineRule="auto"/>
              <w:jc w:val="both"/>
              <w:rPr>
                <w:rFonts w:ascii="Arial" w:eastAsia="Arial" w:hAnsi="Arial" w:cs="Arial"/>
                <w:sz w:val="18"/>
                <w:szCs w:val="18"/>
              </w:rPr>
            </w:pPr>
            <w:r>
              <w:rPr>
                <w:rFonts w:ascii="Arial" w:eastAsia="Arial" w:hAnsi="Arial" w:cs="Arial"/>
                <w:sz w:val="18"/>
                <w:szCs w:val="18"/>
              </w:rPr>
              <w:t>Coordinar un Plan Distrital de prevención de violencias dirigido a las personas que estén en riesgo sean o hayan sido víctimas de violencia en el contexto familiar y violencia sexual.</w:t>
            </w:r>
          </w:p>
        </w:tc>
      </w:tr>
    </w:tbl>
    <w:p w:rsidR="00D35DC7" w:rsidRDefault="00982954">
      <w:pPr>
        <w:shd w:val="clear" w:color="auto" w:fill="FFFFFF"/>
        <w:spacing w:before="240" w:after="240" w:line="276" w:lineRule="auto"/>
        <w:jc w:val="both"/>
        <w:rPr>
          <w:rFonts w:ascii="Arial" w:eastAsia="Arial" w:hAnsi="Arial" w:cs="Arial"/>
          <w:b/>
        </w:rPr>
      </w:pPr>
      <w:r>
        <w:rPr>
          <w:rFonts w:ascii="Arial" w:eastAsia="Arial" w:hAnsi="Arial" w:cs="Arial"/>
          <w:b/>
        </w:rPr>
        <w:t>Personas mayores</w:t>
      </w:r>
    </w:p>
    <w:p w:rsidR="00D35DC7" w:rsidRDefault="00982954">
      <w:pPr>
        <w:shd w:val="clear" w:color="auto" w:fill="FFFFFF"/>
        <w:spacing w:before="240" w:after="240" w:line="276" w:lineRule="auto"/>
        <w:jc w:val="both"/>
        <w:rPr>
          <w:rFonts w:ascii="Arial" w:eastAsia="Arial" w:hAnsi="Arial" w:cs="Arial"/>
        </w:rPr>
      </w:pPr>
      <w:r>
        <w:rPr>
          <w:rFonts w:ascii="Arial" w:eastAsia="Arial" w:hAnsi="Arial" w:cs="Arial"/>
        </w:rPr>
        <w:t>La Constitución Política de 1991 en su artículo 46 indica: “El Estado, la sociedad y la familia concurrirán para la protección y la asistencia de las personas de la tercera edad y promoverán su integración a la vida activa y comunitaria. El Estado les garantizará los servicios de la seguridad social integral y el subsidio alimentario en caso de indigencia”. Así mismo, Colombia adoptó el Protocolo Adicional a la Convención Americana de Derechos Humanos ratificado por Ley 319 de 1996 y la Resolución 46 de 1991, que promulga que “Toda persona tiene derecho a protección especial durante su ancianidad. En tal cometido, los Estados parte se comprometen a adoptar de manera progresiva las medidas necesarias a fin de llevar este derecho a la práctica”.</w:t>
      </w:r>
    </w:p>
    <w:p w:rsidR="00D35DC7" w:rsidRDefault="00982954">
      <w:pPr>
        <w:shd w:val="clear" w:color="auto" w:fill="FFFFFF"/>
        <w:spacing w:before="240" w:after="240" w:line="276" w:lineRule="auto"/>
        <w:jc w:val="both"/>
        <w:rPr>
          <w:rFonts w:ascii="Arial" w:eastAsia="Arial" w:hAnsi="Arial" w:cs="Arial"/>
        </w:rPr>
      </w:pPr>
      <w:r>
        <w:rPr>
          <w:rFonts w:ascii="Arial" w:eastAsia="Arial" w:hAnsi="Arial" w:cs="Arial"/>
        </w:rPr>
        <w:t>Adicionalmente, se tiene en cuenta la Ley 1850 de 2017 por medio de la cual se establecen medidas de protección al adulto mayor en Colombia, se modifican las Leyes 1251 de 2008, 1315 de 2009, 599 de 2000 y 1276 de 2009, se penaliza el maltrato intrafamiliar por abandono y se dictan otras disposiciones. Dicho marco normativo y otras disposiciones legales son consideradas en la política pública para el Envejecimiento y la Vejez 2010 - 2025 que lidera la Secretaría de Integración Social y que tiene como objetivo Garantizar la promoción, protección, restablecimiento y ejercicio pleno de los derechos humanos de las personas mayores sin distingo alguno, que permita el desarrollo humano, social, económico, político, cultural y recreativo, promoviendo el envejecimiento activo para que las personas mayores de hoy y del futuro en el Distrito Capital vivan una vejez con dignidad, a partir de la responsabilidad que le compete al Estado en su conjunto y de acuerdo con los lineamientos nacionales e internacionales.</w:t>
      </w:r>
    </w:p>
    <w:p w:rsidR="00D35DC7" w:rsidRDefault="00982954">
      <w:pPr>
        <w:shd w:val="clear" w:color="auto" w:fill="FFFFFF"/>
        <w:spacing w:before="240" w:after="240" w:line="276" w:lineRule="auto"/>
        <w:jc w:val="both"/>
        <w:rPr>
          <w:rFonts w:ascii="Arial" w:eastAsia="Arial" w:hAnsi="Arial" w:cs="Arial"/>
        </w:rPr>
      </w:pPr>
      <w:r>
        <w:rPr>
          <w:rFonts w:ascii="Arial" w:eastAsia="Arial" w:hAnsi="Arial" w:cs="Arial"/>
        </w:rPr>
        <w:t>Con base en lo anterior, desde esta Secretaría se estableció la siguiente meta plan de desarrollo:</w:t>
      </w:r>
    </w:p>
    <w:tbl>
      <w:tblPr>
        <w:tblStyle w:val="a7"/>
        <w:tblW w:w="8838"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2004"/>
        <w:gridCol w:w="2018"/>
        <w:gridCol w:w="4816"/>
      </w:tblGrid>
      <w:tr w:rsidR="00D35DC7">
        <w:trPr>
          <w:trHeight w:val="300"/>
        </w:trPr>
        <w:tc>
          <w:tcPr>
            <w:tcW w:w="2003" w:type="dxa"/>
            <w:tcBorders>
              <w:top w:val="single" w:sz="6" w:space="0" w:color="000000"/>
              <w:left w:val="single" w:sz="6" w:space="0" w:color="000000"/>
              <w:bottom w:val="single" w:sz="6" w:space="0" w:color="000000"/>
              <w:right w:val="single" w:sz="6" w:space="0" w:color="000000"/>
            </w:tcBorders>
            <w:shd w:val="clear" w:color="auto" w:fill="FFFFFF"/>
            <w:tcMar>
              <w:top w:w="0" w:type="dxa"/>
              <w:left w:w="100" w:type="dxa"/>
              <w:bottom w:w="0" w:type="dxa"/>
              <w:right w:w="100" w:type="dxa"/>
            </w:tcMar>
          </w:tcPr>
          <w:p w:rsidR="00D35DC7" w:rsidRDefault="00982954">
            <w:pPr>
              <w:shd w:val="clear" w:color="auto" w:fill="FFFFFF"/>
              <w:spacing w:before="240" w:after="240"/>
              <w:jc w:val="center"/>
              <w:rPr>
                <w:rFonts w:ascii="Arial" w:eastAsia="Arial" w:hAnsi="Arial" w:cs="Arial"/>
                <w:b/>
                <w:sz w:val="18"/>
                <w:szCs w:val="18"/>
              </w:rPr>
            </w:pPr>
            <w:r>
              <w:rPr>
                <w:rFonts w:ascii="Arial" w:eastAsia="Arial" w:hAnsi="Arial" w:cs="Arial"/>
                <w:b/>
                <w:sz w:val="18"/>
                <w:szCs w:val="18"/>
              </w:rPr>
              <w:t>Objetivo</w:t>
            </w:r>
          </w:p>
        </w:tc>
        <w:tc>
          <w:tcPr>
            <w:tcW w:w="2018" w:type="dxa"/>
            <w:tcBorders>
              <w:top w:val="single" w:sz="6" w:space="0" w:color="000000"/>
              <w:left w:val="nil"/>
              <w:bottom w:val="single" w:sz="6" w:space="0" w:color="000000"/>
              <w:right w:val="single" w:sz="6" w:space="0" w:color="000000"/>
            </w:tcBorders>
            <w:shd w:val="clear" w:color="auto" w:fill="FFFFFF"/>
            <w:tcMar>
              <w:top w:w="0" w:type="dxa"/>
              <w:left w:w="100" w:type="dxa"/>
              <w:bottom w:w="0" w:type="dxa"/>
              <w:right w:w="100" w:type="dxa"/>
            </w:tcMar>
          </w:tcPr>
          <w:p w:rsidR="00D35DC7" w:rsidRDefault="00982954">
            <w:pPr>
              <w:shd w:val="clear" w:color="auto" w:fill="FFFFFF"/>
              <w:spacing w:before="240" w:after="240"/>
              <w:jc w:val="center"/>
              <w:rPr>
                <w:rFonts w:ascii="Arial" w:eastAsia="Arial" w:hAnsi="Arial" w:cs="Arial"/>
                <w:b/>
                <w:sz w:val="18"/>
                <w:szCs w:val="18"/>
              </w:rPr>
            </w:pPr>
            <w:r>
              <w:rPr>
                <w:rFonts w:ascii="Arial" w:eastAsia="Arial" w:hAnsi="Arial" w:cs="Arial"/>
                <w:b/>
                <w:sz w:val="18"/>
                <w:szCs w:val="18"/>
              </w:rPr>
              <w:t>Programa</w:t>
            </w:r>
          </w:p>
        </w:tc>
        <w:tc>
          <w:tcPr>
            <w:tcW w:w="4815" w:type="dxa"/>
            <w:tcBorders>
              <w:top w:val="single" w:sz="6" w:space="0" w:color="000000"/>
              <w:left w:val="nil"/>
              <w:bottom w:val="single" w:sz="6" w:space="0" w:color="000000"/>
              <w:right w:val="single" w:sz="6" w:space="0" w:color="000000"/>
            </w:tcBorders>
            <w:shd w:val="clear" w:color="auto" w:fill="FFFFFF"/>
            <w:tcMar>
              <w:top w:w="0" w:type="dxa"/>
              <w:left w:w="100" w:type="dxa"/>
              <w:bottom w:w="0" w:type="dxa"/>
              <w:right w:w="100" w:type="dxa"/>
            </w:tcMar>
          </w:tcPr>
          <w:p w:rsidR="00D35DC7" w:rsidRDefault="00982954">
            <w:pPr>
              <w:shd w:val="clear" w:color="auto" w:fill="FFFFFF"/>
              <w:spacing w:before="240" w:after="240"/>
              <w:jc w:val="center"/>
              <w:rPr>
                <w:rFonts w:ascii="Arial" w:eastAsia="Arial" w:hAnsi="Arial" w:cs="Arial"/>
                <w:b/>
                <w:sz w:val="18"/>
                <w:szCs w:val="18"/>
              </w:rPr>
            </w:pPr>
            <w:r>
              <w:rPr>
                <w:rFonts w:ascii="Arial" w:eastAsia="Arial" w:hAnsi="Arial" w:cs="Arial"/>
                <w:b/>
                <w:sz w:val="18"/>
                <w:szCs w:val="18"/>
              </w:rPr>
              <w:t>Meta propuesta</w:t>
            </w:r>
          </w:p>
        </w:tc>
      </w:tr>
      <w:tr w:rsidR="00D35DC7">
        <w:trPr>
          <w:trHeight w:val="690"/>
        </w:trPr>
        <w:tc>
          <w:tcPr>
            <w:tcW w:w="2003" w:type="dxa"/>
            <w:tcBorders>
              <w:top w:val="nil"/>
              <w:left w:val="single" w:sz="6" w:space="0" w:color="000000"/>
              <w:bottom w:val="single" w:sz="6" w:space="0" w:color="000000"/>
              <w:right w:val="single" w:sz="6" w:space="0" w:color="000000"/>
            </w:tcBorders>
            <w:shd w:val="clear" w:color="auto" w:fill="auto"/>
            <w:tcMar>
              <w:top w:w="0" w:type="dxa"/>
              <w:left w:w="100" w:type="dxa"/>
              <w:bottom w:w="0" w:type="dxa"/>
              <w:right w:w="100" w:type="dxa"/>
            </w:tcMar>
          </w:tcPr>
          <w:p w:rsidR="00D35DC7" w:rsidRDefault="00982954">
            <w:pPr>
              <w:shd w:val="clear" w:color="auto" w:fill="FFFFFF"/>
              <w:spacing w:before="240" w:after="240"/>
              <w:jc w:val="both"/>
              <w:rPr>
                <w:rFonts w:ascii="Arial" w:eastAsia="Arial" w:hAnsi="Arial" w:cs="Arial"/>
                <w:sz w:val="18"/>
                <w:szCs w:val="18"/>
              </w:rPr>
            </w:pPr>
            <w:r>
              <w:rPr>
                <w:rFonts w:ascii="Arial" w:eastAsia="Arial" w:hAnsi="Arial" w:cs="Arial"/>
                <w:sz w:val="18"/>
                <w:szCs w:val="18"/>
              </w:rPr>
              <w:t>Objetivo 2. Bogotá confía en su bien-estar.</w:t>
            </w:r>
          </w:p>
        </w:tc>
        <w:tc>
          <w:tcPr>
            <w:tcW w:w="2018" w:type="dxa"/>
            <w:tcBorders>
              <w:top w:val="nil"/>
              <w:left w:val="nil"/>
              <w:bottom w:val="single" w:sz="6" w:space="0" w:color="000000"/>
              <w:right w:val="single" w:sz="6" w:space="0" w:color="000000"/>
            </w:tcBorders>
            <w:shd w:val="clear" w:color="auto" w:fill="auto"/>
            <w:tcMar>
              <w:top w:w="0" w:type="dxa"/>
              <w:left w:w="100" w:type="dxa"/>
              <w:bottom w:w="0" w:type="dxa"/>
              <w:right w:w="100" w:type="dxa"/>
            </w:tcMar>
          </w:tcPr>
          <w:p w:rsidR="00D35DC7" w:rsidRDefault="00982954">
            <w:pPr>
              <w:shd w:val="clear" w:color="auto" w:fill="FFFFFF"/>
              <w:spacing w:before="240" w:after="240"/>
              <w:jc w:val="both"/>
              <w:rPr>
                <w:rFonts w:ascii="Arial" w:eastAsia="Arial" w:hAnsi="Arial" w:cs="Arial"/>
                <w:sz w:val="18"/>
                <w:szCs w:val="18"/>
              </w:rPr>
            </w:pPr>
            <w:r>
              <w:rPr>
                <w:rFonts w:ascii="Arial" w:eastAsia="Arial" w:hAnsi="Arial" w:cs="Arial"/>
                <w:sz w:val="18"/>
                <w:szCs w:val="18"/>
              </w:rPr>
              <w:t>Programa 12: Bogotá cuida a su gente</w:t>
            </w:r>
          </w:p>
        </w:tc>
        <w:tc>
          <w:tcPr>
            <w:tcW w:w="4815" w:type="dxa"/>
            <w:tcBorders>
              <w:top w:val="nil"/>
              <w:left w:val="nil"/>
              <w:bottom w:val="single" w:sz="6" w:space="0" w:color="000000"/>
              <w:right w:val="single" w:sz="6" w:space="0" w:color="000000"/>
            </w:tcBorders>
            <w:shd w:val="clear" w:color="auto" w:fill="auto"/>
            <w:tcMar>
              <w:top w:w="0" w:type="dxa"/>
              <w:left w:w="100" w:type="dxa"/>
              <w:bottom w:w="0" w:type="dxa"/>
              <w:right w:w="100" w:type="dxa"/>
            </w:tcMar>
          </w:tcPr>
          <w:p w:rsidR="00D35DC7" w:rsidRDefault="00982954">
            <w:pPr>
              <w:shd w:val="clear" w:color="auto" w:fill="FFFFFF"/>
              <w:spacing w:before="240" w:after="240"/>
              <w:jc w:val="both"/>
              <w:rPr>
                <w:rFonts w:ascii="Arial" w:eastAsia="Arial" w:hAnsi="Arial" w:cs="Arial"/>
                <w:sz w:val="18"/>
                <w:szCs w:val="18"/>
              </w:rPr>
            </w:pPr>
            <w:r>
              <w:rPr>
                <w:rFonts w:ascii="Arial" w:eastAsia="Arial" w:hAnsi="Arial" w:cs="Arial"/>
                <w:sz w:val="18"/>
                <w:szCs w:val="18"/>
              </w:rPr>
              <w:t>Atender a 161.000 personas mayores en los servicios sociales con transferencias, servicios en unidades operativas y extramurales.</w:t>
            </w:r>
          </w:p>
        </w:tc>
      </w:tr>
    </w:tbl>
    <w:p w:rsidR="00D35DC7" w:rsidRDefault="00982954">
      <w:pPr>
        <w:shd w:val="clear" w:color="auto" w:fill="FFFFFF"/>
        <w:spacing w:before="240" w:after="240" w:line="276" w:lineRule="auto"/>
        <w:jc w:val="both"/>
        <w:rPr>
          <w:rFonts w:ascii="Arial" w:eastAsia="Arial" w:hAnsi="Arial" w:cs="Arial"/>
          <w:b/>
        </w:rPr>
      </w:pPr>
      <w:r>
        <w:rPr>
          <w:rFonts w:ascii="Arial" w:eastAsia="Arial" w:hAnsi="Arial" w:cs="Arial"/>
          <w:b/>
        </w:rPr>
        <w:t xml:space="preserve"> Personas con discapacidad</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El Estado colombiano ha contemplado distintas normas para la garantía y protección de los derechos de las personas con discapacidad, basadas en el hecho de que “todas las personas nacen libres e iguales ante la ley” (Artículo 13, Constitución Política de Colombia). También se fundamentan en los principios de la no discriminación, la igualdad de oportunidades, el derecho a una vida independiente, a la integración total y a la seguridad.</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En este sentido, se puede destacar la Ley 16 de 1972 Por medio de la cual se aprueba la Convención Americana sobre Derechos Humanos "Pacto de San José de Costa Rica", Ley 762 de 2002 Por medio de la cual se aprueba la "Convención Interamericana para la Eliminación de todas las Formas de Discriminación contra las Personas con Discapacidad" y el Acuerdo 137 2004 por medio del cual se establece el Sistema Distrital de Atención Integral de Personas en condición de discapacidad en el Distrito Capital y se modifica el Acuerdo 022 de 1999".</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El compendio total de normativa es considerado en la Política pública de discapacidad para Bogotá D.C. 2023 – 2034 liderada por la Secretaría de Integración Social y que tiene como objetivo garantizar el goce efectivo de los derechos y la inclusión social de las personas con discapacidad, sus familias y las personas cuidadoras de personas con discapacidad en el territorio urbano, rural y disperso de Bogotá D.C.</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Dado lo anterior, las siguientes son las metas establecidas en el nuevo plan de desarrollo orientadas a la población con discapacidad.</w:t>
      </w:r>
    </w:p>
    <w:tbl>
      <w:tblPr>
        <w:tblStyle w:val="a8"/>
        <w:tblW w:w="8838"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2004"/>
        <w:gridCol w:w="2018"/>
        <w:gridCol w:w="4816"/>
      </w:tblGrid>
      <w:tr w:rsidR="00D35DC7">
        <w:trPr>
          <w:trHeight w:val="300"/>
        </w:trPr>
        <w:tc>
          <w:tcPr>
            <w:tcW w:w="2003" w:type="dxa"/>
            <w:tcBorders>
              <w:top w:val="single" w:sz="6" w:space="0" w:color="000000"/>
              <w:left w:val="single" w:sz="6" w:space="0" w:color="000000"/>
              <w:bottom w:val="single" w:sz="6" w:space="0" w:color="000000"/>
              <w:right w:val="single" w:sz="6" w:space="0" w:color="000000"/>
            </w:tcBorders>
            <w:shd w:val="clear" w:color="auto" w:fill="FFFFFF"/>
            <w:tcMar>
              <w:top w:w="0" w:type="dxa"/>
              <w:left w:w="100" w:type="dxa"/>
              <w:bottom w:w="0" w:type="dxa"/>
              <w:right w:w="100" w:type="dxa"/>
            </w:tcMar>
          </w:tcPr>
          <w:p w:rsidR="00D35DC7" w:rsidRDefault="00982954">
            <w:pPr>
              <w:shd w:val="clear" w:color="auto" w:fill="FFFFFF"/>
              <w:spacing w:before="240" w:after="240"/>
              <w:jc w:val="center"/>
              <w:rPr>
                <w:rFonts w:ascii="Arial" w:eastAsia="Arial" w:hAnsi="Arial" w:cs="Arial"/>
                <w:b/>
                <w:sz w:val="18"/>
                <w:szCs w:val="18"/>
              </w:rPr>
            </w:pPr>
            <w:r>
              <w:rPr>
                <w:rFonts w:ascii="Arial" w:eastAsia="Arial" w:hAnsi="Arial" w:cs="Arial"/>
                <w:b/>
                <w:sz w:val="18"/>
                <w:szCs w:val="18"/>
              </w:rPr>
              <w:t>Objetivo</w:t>
            </w:r>
          </w:p>
        </w:tc>
        <w:tc>
          <w:tcPr>
            <w:tcW w:w="2018" w:type="dxa"/>
            <w:tcBorders>
              <w:top w:val="single" w:sz="6" w:space="0" w:color="000000"/>
              <w:left w:val="nil"/>
              <w:bottom w:val="single" w:sz="6" w:space="0" w:color="000000"/>
              <w:right w:val="single" w:sz="6" w:space="0" w:color="000000"/>
            </w:tcBorders>
            <w:shd w:val="clear" w:color="auto" w:fill="FFFFFF"/>
            <w:tcMar>
              <w:top w:w="0" w:type="dxa"/>
              <w:left w:w="100" w:type="dxa"/>
              <w:bottom w:w="0" w:type="dxa"/>
              <w:right w:w="100" w:type="dxa"/>
            </w:tcMar>
          </w:tcPr>
          <w:p w:rsidR="00D35DC7" w:rsidRDefault="00982954">
            <w:pPr>
              <w:shd w:val="clear" w:color="auto" w:fill="FFFFFF"/>
              <w:spacing w:before="240" w:after="240"/>
              <w:jc w:val="center"/>
              <w:rPr>
                <w:rFonts w:ascii="Arial" w:eastAsia="Arial" w:hAnsi="Arial" w:cs="Arial"/>
                <w:b/>
                <w:sz w:val="18"/>
                <w:szCs w:val="18"/>
              </w:rPr>
            </w:pPr>
            <w:r>
              <w:rPr>
                <w:rFonts w:ascii="Arial" w:eastAsia="Arial" w:hAnsi="Arial" w:cs="Arial"/>
                <w:b/>
                <w:sz w:val="18"/>
                <w:szCs w:val="18"/>
              </w:rPr>
              <w:t>Programa</w:t>
            </w:r>
          </w:p>
        </w:tc>
        <w:tc>
          <w:tcPr>
            <w:tcW w:w="4815" w:type="dxa"/>
            <w:tcBorders>
              <w:top w:val="single" w:sz="6" w:space="0" w:color="000000"/>
              <w:left w:val="nil"/>
              <w:bottom w:val="single" w:sz="6" w:space="0" w:color="000000"/>
              <w:right w:val="single" w:sz="6" w:space="0" w:color="000000"/>
            </w:tcBorders>
            <w:shd w:val="clear" w:color="auto" w:fill="FFFFFF"/>
            <w:tcMar>
              <w:top w:w="0" w:type="dxa"/>
              <w:left w:w="100" w:type="dxa"/>
              <w:bottom w:w="0" w:type="dxa"/>
              <w:right w:w="100" w:type="dxa"/>
            </w:tcMar>
          </w:tcPr>
          <w:p w:rsidR="00D35DC7" w:rsidRDefault="00982954">
            <w:pPr>
              <w:shd w:val="clear" w:color="auto" w:fill="FFFFFF"/>
              <w:spacing w:before="240" w:after="240"/>
              <w:jc w:val="center"/>
              <w:rPr>
                <w:rFonts w:ascii="Arial" w:eastAsia="Arial" w:hAnsi="Arial" w:cs="Arial"/>
                <w:b/>
                <w:sz w:val="18"/>
                <w:szCs w:val="18"/>
              </w:rPr>
            </w:pPr>
            <w:r>
              <w:rPr>
                <w:rFonts w:ascii="Arial" w:eastAsia="Arial" w:hAnsi="Arial" w:cs="Arial"/>
                <w:b/>
                <w:sz w:val="18"/>
                <w:szCs w:val="18"/>
              </w:rPr>
              <w:t>Meta propuesta</w:t>
            </w:r>
          </w:p>
        </w:tc>
      </w:tr>
      <w:tr w:rsidR="00D35DC7">
        <w:trPr>
          <w:trHeight w:val="2520"/>
        </w:trPr>
        <w:tc>
          <w:tcPr>
            <w:tcW w:w="2003" w:type="dxa"/>
            <w:tcBorders>
              <w:top w:val="nil"/>
              <w:left w:val="single" w:sz="6" w:space="0" w:color="000000"/>
              <w:bottom w:val="single" w:sz="6" w:space="0" w:color="000000"/>
              <w:right w:val="single" w:sz="6" w:space="0" w:color="000000"/>
            </w:tcBorders>
            <w:shd w:val="clear" w:color="auto" w:fill="auto"/>
            <w:tcMar>
              <w:top w:w="0" w:type="dxa"/>
              <w:left w:w="100" w:type="dxa"/>
              <w:bottom w:w="0" w:type="dxa"/>
              <w:right w:w="100" w:type="dxa"/>
            </w:tcMar>
          </w:tcPr>
          <w:p w:rsidR="00D35DC7" w:rsidRDefault="00982954">
            <w:pPr>
              <w:shd w:val="clear" w:color="auto" w:fill="FFFFFF"/>
              <w:spacing w:before="240" w:after="240"/>
              <w:jc w:val="both"/>
              <w:rPr>
                <w:rFonts w:ascii="Arial" w:eastAsia="Arial" w:hAnsi="Arial" w:cs="Arial"/>
                <w:sz w:val="18"/>
                <w:szCs w:val="18"/>
              </w:rPr>
            </w:pPr>
            <w:r>
              <w:rPr>
                <w:rFonts w:ascii="Arial" w:eastAsia="Arial" w:hAnsi="Arial" w:cs="Arial"/>
                <w:sz w:val="18"/>
                <w:szCs w:val="18"/>
              </w:rPr>
              <w:t>Objetivo 2. Bogotá confía en su bien-estar.</w:t>
            </w:r>
          </w:p>
        </w:tc>
        <w:tc>
          <w:tcPr>
            <w:tcW w:w="2018" w:type="dxa"/>
            <w:tcBorders>
              <w:top w:val="nil"/>
              <w:left w:val="nil"/>
              <w:bottom w:val="single" w:sz="6" w:space="0" w:color="000000"/>
              <w:right w:val="single" w:sz="6" w:space="0" w:color="000000"/>
            </w:tcBorders>
            <w:shd w:val="clear" w:color="auto" w:fill="auto"/>
            <w:tcMar>
              <w:top w:w="0" w:type="dxa"/>
              <w:left w:w="100" w:type="dxa"/>
              <w:bottom w:w="0" w:type="dxa"/>
              <w:right w:w="100" w:type="dxa"/>
            </w:tcMar>
          </w:tcPr>
          <w:p w:rsidR="00D35DC7" w:rsidRDefault="00982954">
            <w:pPr>
              <w:shd w:val="clear" w:color="auto" w:fill="FFFFFF"/>
              <w:spacing w:before="240" w:after="240"/>
              <w:jc w:val="both"/>
              <w:rPr>
                <w:rFonts w:ascii="Arial" w:eastAsia="Arial" w:hAnsi="Arial" w:cs="Arial"/>
                <w:sz w:val="18"/>
                <w:szCs w:val="18"/>
              </w:rPr>
            </w:pPr>
            <w:r>
              <w:rPr>
                <w:rFonts w:ascii="Arial" w:eastAsia="Arial" w:hAnsi="Arial" w:cs="Arial"/>
                <w:sz w:val="18"/>
                <w:szCs w:val="18"/>
              </w:rPr>
              <w:t>Programa 12: Bogotá cuida a su gente</w:t>
            </w:r>
          </w:p>
        </w:tc>
        <w:tc>
          <w:tcPr>
            <w:tcW w:w="4815" w:type="dxa"/>
            <w:tcBorders>
              <w:top w:val="nil"/>
              <w:left w:val="nil"/>
              <w:bottom w:val="single" w:sz="6" w:space="0" w:color="000000"/>
              <w:right w:val="single" w:sz="6" w:space="0" w:color="000000"/>
            </w:tcBorders>
            <w:shd w:val="clear" w:color="auto" w:fill="auto"/>
            <w:tcMar>
              <w:top w:w="0" w:type="dxa"/>
              <w:left w:w="100" w:type="dxa"/>
              <w:bottom w:w="0" w:type="dxa"/>
              <w:right w:w="100" w:type="dxa"/>
            </w:tcMar>
          </w:tcPr>
          <w:p w:rsidR="00D35DC7" w:rsidRDefault="00982954">
            <w:pPr>
              <w:shd w:val="clear" w:color="auto" w:fill="FFFFFF"/>
              <w:spacing w:before="240" w:after="240"/>
              <w:jc w:val="both"/>
              <w:rPr>
                <w:rFonts w:ascii="Arial" w:eastAsia="Arial" w:hAnsi="Arial" w:cs="Arial"/>
                <w:sz w:val="18"/>
                <w:szCs w:val="18"/>
              </w:rPr>
            </w:pPr>
            <w:r>
              <w:rPr>
                <w:rFonts w:ascii="Arial" w:eastAsia="Arial" w:hAnsi="Arial" w:cs="Arial"/>
                <w:sz w:val="18"/>
                <w:szCs w:val="18"/>
              </w:rPr>
              <w:t>Adaptar 15 servicios sociales y estrategias de integración social priorizadas para la atención diferencial y la inclusión de personas con discapacidad considerando también el enfoque étnico en articulación con el Sistema Distrital de Cuidado.</w:t>
            </w:r>
          </w:p>
          <w:p w:rsidR="00D35DC7" w:rsidRDefault="00982954">
            <w:pPr>
              <w:shd w:val="clear" w:color="auto" w:fill="FFFFFF"/>
              <w:spacing w:before="240" w:after="240"/>
              <w:jc w:val="both"/>
              <w:rPr>
                <w:rFonts w:ascii="Arial" w:eastAsia="Arial" w:hAnsi="Arial" w:cs="Arial"/>
                <w:sz w:val="18"/>
                <w:szCs w:val="18"/>
              </w:rPr>
            </w:pPr>
            <w:r>
              <w:rPr>
                <w:rFonts w:ascii="Arial" w:eastAsia="Arial" w:hAnsi="Arial" w:cs="Arial"/>
                <w:sz w:val="18"/>
                <w:szCs w:val="18"/>
              </w:rPr>
              <w:t>Atender a 8.600 personas con discapacidad, sus familias y sus personas cuidadoras a través de servicios sociales, estrategias y acciones transversales que favorezcan su inclusión social y productiva.</w:t>
            </w:r>
          </w:p>
        </w:tc>
      </w:tr>
    </w:tbl>
    <w:p w:rsidR="00D35DC7" w:rsidRDefault="00982954">
      <w:pPr>
        <w:shd w:val="clear" w:color="auto" w:fill="FFFFFF"/>
        <w:spacing w:before="240" w:after="240" w:line="276" w:lineRule="auto"/>
        <w:jc w:val="both"/>
        <w:rPr>
          <w:rFonts w:ascii="Arial" w:eastAsia="Arial" w:hAnsi="Arial" w:cs="Arial"/>
        </w:rPr>
      </w:pPr>
      <w:r>
        <w:rPr>
          <w:rFonts w:ascii="Arial" w:eastAsia="Arial" w:hAnsi="Arial" w:cs="Arial"/>
        </w:rPr>
        <w:t xml:space="preserve"> </w:t>
      </w:r>
    </w:p>
    <w:p w:rsidR="00D35DC7" w:rsidRDefault="00D35DC7">
      <w:pPr>
        <w:shd w:val="clear" w:color="auto" w:fill="FFFFFF"/>
        <w:spacing w:before="240" w:after="240" w:line="276" w:lineRule="auto"/>
        <w:jc w:val="both"/>
        <w:rPr>
          <w:rFonts w:ascii="Arial" w:eastAsia="Arial" w:hAnsi="Arial" w:cs="Arial"/>
        </w:rPr>
      </w:pPr>
    </w:p>
    <w:p w:rsidR="00D35DC7" w:rsidRDefault="00982954">
      <w:pPr>
        <w:shd w:val="clear" w:color="auto" w:fill="FFFFFF"/>
        <w:spacing w:before="240" w:after="240" w:line="276" w:lineRule="auto"/>
        <w:jc w:val="both"/>
        <w:rPr>
          <w:rFonts w:ascii="Arial" w:eastAsia="Arial" w:hAnsi="Arial" w:cs="Arial"/>
          <w:b/>
        </w:rPr>
      </w:pPr>
      <w:r>
        <w:rPr>
          <w:rFonts w:ascii="Arial" w:eastAsia="Arial" w:hAnsi="Arial" w:cs="Arial"/>
          <w:b/>
        </w:rPr>
        <w:t xml:space="preserve">9. Qué acciones se tienen contempladas en el plan de desarrollo para garantizar la protección especial del suelo rural. </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Uno de los instrumentos básicos de soporte del Plan de Desarrollo Distrital 2024 – 2028 “Bogotá Camina Segura” es el Plan de Ordenamiento Territorial que fue adoptado por el Decreto Distrital 555 de 2021, el cual ha definido entre varios temas la definición del suelo de protección, entre ellos se encuentra el suelo rural, que se encuentra categorizado en el artículo 445 categorías de suelo rural, en donde en el numeral 1 se define que la la protección en suelo rural, se divide en las siguientes subcategorías:</w:t>
      </w:r>
    </w:p>
    <w:p w:rsidR="00D35DC7" w:rsidRDefault="00982954">
      <w:pPr>
        <w:shd w:val="clear" w:color="auto" w:fill="FFFFFF"/>
        <w:spacing w:before="240" w:after="240" w:line="360" w:lineRule="auto"/>
        <w:ind w:left="720"/>
        <w:jc w:val="both"/>
        <w:rPr>
          <w:rFonts w:ascii="Arial" w:eastAsia="Arial" w:hAnsi="Arial" w:cs="Arial"/>
        </w:rPr>
      </w:pPr>
      <w:r>
        <w:rPr>
          <w:rFonts w:ascii="Arial" w:eastAsia="Arial" w:hAnsi="Arial" w:cs="Arial"/>
        </w:rPr>
        <w:t>a.    Áreas de conservación y protección ambiental.</w:t>
      </w:r>
    </w:p>
    <w:p w:rsidR="00D35DC7" w:rsidRDefault="00982954">
      <w:pPr>
        <w:shd w:val="clear" w:color="auto" w:fill="FFFFFF"/>
        <w:spacing w:before="240" w:after="240" w:line="360" w:lineRule="auto"/>
        <w:ind w:left="720"/>
        <w:jc w:val="both"/>
        <w:rPr>
          <w:rFonts w:ascii="Arial" w:eastAsia="Arial" w:hAnsi="Arial" w:cs="Arial"/>
        </w:rPr>
      </w:pPr>
      <w:r>
        <w:rPr>
          <w:rFonts w:ascii="Arial" w:eastAsia="Arial" w:hAnsi="Arial" w:cs="Arial"/>
        </w:rPr>
        <w:t>b.  Áreas para la producción agrícola y ganadera y de explotación de recursos naturales.</w:t>
      </w:r>
    </w:p>
    <w:p w:rsidR="00D35DC7" w:rsidRDefault="00982954">
      <w:pPr>
        <w:shd w:val="clear" w:color="auto" w:fill="FFFFFF"/>
        <w:spacing w:before="240" w:after="240" w:line="360" w:lineRule="auto"/>
        <w:ind w:left="720"/>
        <w:jc w:val="both"/>
        <w:rPr>
          <w:rFonts w:ascii="Arial" w:eastAsia="Arial" w:hAnsi="Arial" w:cs="Arial"/>
        </w:rPr>
      </w:pPr>
      <w:r>
        <w:rPr>
          <w:rFonts w:ascii="Arial" w:eastAsia="Arial" w:hAnsi="Arial" w:cs="Arial"/>
        </w:rPr>
        <w:t>c.    Áreas e inmuebles considerados como patrimonio cultural.</w:t>
      </w:r>
    </w:p>
    <w:p w:rsidR="00D35DC7" w:rsidRDefault="00982954">
      <w:pPr>
        <w:shd w:val="clear" w:color="auto" w:fill="FFFFFF"/>
        <w:spacing w:before="240" w:after="240" w:line="360" w:lineRule="auto"/>
        <w:ind w:left="720"/>
        <w:jc w:val="both"/>
        <w:rPr>
          <w:rFonts w:ascii="Arial" w:eastAsia="Arial" w:hAnsi="Arial" w:cs="Arial"/>
        </w:rPr>
      </w:pPr>
      <w:r>
        <w:rPr>
          <w:rFonts w:ascii="Arial" w:eastAsia="Arial" w:hAnsi="Arial" w:cs="Arial"/>
        </w:rPr>
        <w:t>d.    Áreas del sistema de servicios públicos domiciliarios.</w:t>
      </w:r>
    </w:p>
    <w:p w:rsidR="00D35DC7" w:rsidRDefault="00982954">
      <w:pPr>
        <w:shd w:val="clear" w:color="auto" w:fill="FFFFFF"/>
        <w:spacing w:before="240" w:after="240" w:line="360" w:lineRule="auto"/>
        <w:ind w:left="720"/>
        <w:jc w:val="both"/>
        <w:rPr>
          <w:rFonts w:ascii="Arial" w:eastAsia="Arial" w:hAnsi="Arial" w:cs="Arial"/>
        </w:rPr>
      </w:pPr>
      <w:r>
        <w:rPr>
          <w:rFonts w:ascii="Arial" w:eastAsia="Arial" w:hAnsi="Arial" w:cs="Arial"/>
        </w:rPr>
        <w:t xml:space="preserve">e.    Áreas de amenaza y riesgo no mitigables. </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Aclarado este punto sobre la definición de la protección del suelo rural en el Distrito Capital, la propuesta del Plan de Desarrollo Bogotá Camina Segura 2024 – 2028 se ha estructurado en cinco objetivos estratégicos entre los cuales se destaca el objetivo número 4 “Bogotá ordena su territorio y avanza en su acción climática” que tiene por objetivo avanzar en la acción climática, la conservación de la biodiversidad y sus servicios ecosistémicos, la movilidad sostenible y multimodal, la revitalización y renovación urbana, la construcción de un hábitat digno y el acceso a vivienda y servicios públicos, para consolidar el modelo de ocupación territorial y el proyecto de desarrollo sostenible con enfoques regional, distrital y local.</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Este objetivo a su vez se desarrollará a través de tres estrategias: Bogotá le apuesta a un desarrollo urbano-rural integral y sostenible, Bogotá protege el ambiente y se compromete con la acción climática y Bogotá le apuesta a un hábitat incluyente; ahora bien este objetivo tiene a su vez nueve programas de los cuales está el Programa 23: Ordenamiento territorial sostenible, equilibrado y participativo en donde desde la Secretaría Distrital de Planeación se ha priorizado la siguiente meta: Desarrollar un (1) modelo de gobernanza colaborativa y multinivel que favorezca el cumplimiento de órdenes judiciales asociadas al ordenamiento territorial del suelo rural y de las franjas urbano-rurales de la ciudad en armonía con lo dispuesto en instrumentos normativos como el Plan de Ordenamiento Territorial Unidades de Planeamiento Local y Planes de Manejo específicos para áreas como la Franja de Adecuación de los Cerros Orientales de Bogotá.</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Esta meta contribuirá a la protección del suelo rural, lo que se articulará con metas y programas liderados por otros sectores como Mujer, Desarrollo Económico, Hábitat, Ambiente y Gestión Pública que se ejecutaran en el suelo rural para afrontar retos como el déficit habitacional en el suelo rural, pobreza monetaria, difícil acceso a servicios públicos, reducción de la biodiversidad presente en los ecosistemas altoandinos, además de la exclusión y la discriminación de población vulnerable entre ellas las mujeres rurales.</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Ahora bien, la protección del suelo rural visto desde las categorías del suelo rural definidas en el artículo 445 del Plan de Ordenamiento Territorial, destaca programas que buscan la protección del suelo rural como el Programa 25 - Aumento de la resiliencia al cambio climático y reducción de la vulnerabilidad en donde hay 12 metas lideradas por el sector ambiente, que se relaciona con las áreas de conservación y protección ambiental.</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Con respecto a la subcategoría de protección del suelo rural denominada Áreas de amenaza y riesgo no mitigable, se encuentra el Programa 27 Gestión del riesgo de desastres para un territorio seguro, para el caso de la subcategoría Áreas para la producción agrícola y ganadera y de explotación de recursos naturales, aplica la meta Fortalecer 800 Unidades Prediales Productivas en el marco de la diversidad económica de la Bogotá Rural y su campesinado que lidera el sector desarrollo económico en el Programa 20 Promoción del emprendimiento formal, equitativo e incluyente.</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Desde la Secretaría Distrital de Planeación hemos trabajado con los diferentes sectores en la protección del suelo rural, con lo cual el anterior planteamiento es la síntesis del proceso que hoy se ve reflejado en la propuesta del Plan de Desarrollo Distrital.</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10. Gestión integral del riesgo contra incendios, atención de rescates en todas sus modalidades y de incidentes con materiales peligrosos, incendios en los cerros orientales, con el fin de dar cumplimiento a las obligaciones constitucionales y legales que en materia de gestión del riesgo de desastres corresponde a las entidades territoriales.</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Efectivamente está contenido en el PDD, en las siguientes dos metas:</w:t>
      </w:r>
    </w:p>
    <w:p w:rsidR="00D35DC7" w:rsidRDefault="00982954">
      <w:pPr>
        <w:shd w:val="clear" w:color="auto" w:fill="FFFFFF"/>
        <w:spacing w:line="360" w:lineRule="auto"/>
        <w:jc w:val="both"/>
        <w:rPr>
          <w:rFonts w:ascii="Arial" w:eastAsia="Arial" w:hAnsi="Arial" w:cs="Arial"/>
        </w:rPr>
      </w:pPr>
      <w:r>
        <w:rPr>
          <w:rFonts w:ascii="Arial" w:eastAsia="Arial" w:hAnsi="Arial" w:cs="Arial"/>
          <w:b/>
        </w:rPr>
        <w:t xml:space="preserve">Meta PDD: </w:t>
      </w:r>
      <w:r>
        <w:rPr>
          <w:rFonts w:ascii="Arial" w:eastAsia="Arial" w:hAnsi="Arial" w:cs="Arial"/>
        </w:rPr>
        <w:t>Implementar un programa para mejorar la respuesta en la atención a emergencias del Cuerpo Oficial de Bomberos de Bogotá, apalancada en redes de conocimiento, prevención del riesgo y cobertura en la ciudad y su entorno.</w:t>
      </w:r>
    </w:p>
    <w:p w:rsidR="00D35DC7" w:rsidRDefault="00982954">
      <w:pPr>
        <w:shd w:val="clear" w:color="auto" w:fill="FFFFFF"/>
        <w:spacing w:line="360" w:lineRule="auto"/>
        <w:jc w:val="both"/>
        <w:rPr>
          <w:rFonts w:ascii="Arial" w:eastAsia="Arial" w:hAnsi="Arial" w:cs="Arial"/>
        </w:rPr>
      </w:pPr>
      <w:r>
        <w:rPr>
          <w:rFonts w:ascii="Arial" w:eastAsia="Arial" w:hAnsi="Arial" w:cs="Arial"/>
          <w:b/>
        </w:rPr>
        <w:t xml:space="preserve">Objetivo Estratégico 4: </w:t>
      </w:r>
      <w:r>
        <w:rPr>
          <w:rFonts w:ascii="Arial" w:eastAsia="Arial" w:hAnsi="Arial" w:cs="Arial"/>
        </w:rPr>
        <w:t>Bogotá ordena su territorio y avanza en su acción climática</w:t>
      </w:r>
    </w:p>
    <w:p w:rsidR="00D35DC7" w:rsidRDefault="00982954">
      <w:pPr>
        <w:shd w:val="clear" w:color="auto" w:fill="FFFFFF"/>
        <w:spacing w:line="360" w:lineRule="auto"/>
        <w:jc w:val="both"/>
        <w:rPr>
          <w:rFonts w:ascii="Arial" w:eastAsia="Arial" w:hAnsi="Arial" w:cs="Arial"/>
        </w:rPr>
      </w:pPr>
      <w:r>
        <w:rPr>
          <w:rFonts w:ascii="Arial" w:eastAsia="Arial" w:hAnsi="Arial" w:cs="Arial"/>
          <w:b/>
        </w:rPr>
        <w:t>Estrategia 2:</w:t>
      </w:r>
      <w:r>
        <w:rPr>
          <w:rFonts w:ascii="Arial" w:eastAsia="Arial" w:hAnsi="Arial" w:cs="Arial"/>
        </w:rPr>
        <w:t xml:space="preserve"> Bogotá protege el ambiente y se compromete con el cambio climático</w:t>
      </w:r>
    </w:p>
    <w:p w:rsidR="00D35DC7" w:rsidRDefault="00982954">
      <w:pPr>
        <w:shd w:val="clear" w:color="auto" w:fill="FFFFFF"/>
        <w:spacing w:line="360" w:lineRule="auto"/>
        <w:jc w:val="both"/>
        <w:rPr>
          <w:rFonts w:ascii="Arial" w:eastAsia="Arial" w:hAnsi="Arial" w:cs="Arial"/>
        </w:rPr>
      </w:pPr>
      <w:r>
        <w:rPr>
          <w:rFonts w:ascii="Arial" w:eastAsia="Arial" w:hAnsi="Arial" w:cs="Arial"/>
          <w:b/>
        </w:rPr>
        <w:t>Programa 25:</w:t>
      </w:r>
      <w:r>
        <w:rPr>
          <w:rFonts w:ascii="Arial" w:eastAsia="Arial" w:hAnsi="Arial" w:cs="Arial"/>
        </w:rPr>
        <w:t xml:space="preserve"> Aumento de la resiliencia al cambio climático y reducción de la vulnerabilidad (última versión).</w:t>
      </w:r>
    </w:p>
    <w:p w:rsidR="00D35DC7" w:rsidRDefault="00982954">
      <w:pPr>
        <w:shd w:val="clear" w:color="auto" w:fill="FFFFFF"/>
        <w:spacing w:line="360" w:lineRule="auto"/>
        <w:jc w:val="both"/>
        <w:rPr>
          <w:rFonts w:ascii="Arial" w:eastAsia="Arial" w:hAnsi="Arial" w:cs="Arial"/>
        </w:rPr>
      </w:pPr>
      <w:r>
        <w:rPr>
          <w:rFonts w:ascii="Arial" w:eastAsia="Arial" w:hAnsi="Arial" w:cs="Arial"/>
          <w:b/>
        </w:rPr>
        <w:t>Alcance Meta:</w:t>
      </w:r>
      <w:r>
        <w:rPr>
          <w:rFonts w:ascii="Arial" w:eastAsia="Arial" w:hAnsi="Arial" w:cs="Arial"/>
        </w:rPr>
        <w:t xml:space="preserve"> Se buscará, no solo el mejoramiento continuo institucional, sino fortalecer las capacidades institucionales para la  gestión integral de riesgos de incendios, atención de rescates en todas sus modalidades e incidentes con materiales peligrosos, aumentando las diferentes capacidades  técnicas y operativas (recurso humano, infraestructura, parque automotor, equipo, herramientas, formación, capacitación y  arquitectura tecnológica), que permitan implementar acciones encaminadas a apalancar redes de conocimiento y prevención del riesgo, propendiendo por la mejora en la cobertura y la respuesta en la atención de emergencias en la ciudad y su entorno.</w:t>
      </w:r>
    </w:p>
    <w:p w:rsidR="00D35DC7" w:rsidRDefault="00D35DC7">
      <w:pPr>
        <w:shd w:val="clear" w:color="auto" w:fill="FFFFFF"/>
        <w:spacing w:line="360" w:lineRule="auto"/>
        <w:jc w:val="both"/>
        <w:rPr>
          <w:rFonts w:ascii="Arial" w:eastAsia="Arial" w:hAnsi="Arial" w:cs="Arial"/>
        </w:rPr>
      </w:pPr>
    </w:p>
    <w:p w:rsidR="00D35DC7" w:rsidRDefault="00982954">
      <w:pPr>
        <w:shd w:val="clear" w:color="auto" w:fill="FFFFFF"/>
        <w:spacing w:line="360" w:lineRule="auto"/>
        <w:jc w:val="both"/>
        <w:rPr>
          <w:rFonts w:ascii="Arial" w:eastAsia="Arial" w:hAnsi="Arial" w:cs="Arial"/>
        </w:rPr>
      </w:pPr>
      <w:r>
        <w:rPr>
          <w:rFonts w:ascii="Arial" w:eastAsia="Arial" w:hAnsi="Arial" w:cs="Arial"/>
          <w:b/>
        </w:rPr>
        <w:t>Indicador Meta:</w:t>
      </w:r>
      <w:r>
        <w:rPr>
          <w:rFonts w:ascii="Arial" w:eastAsia="Arial" w:hAnsi="Arial" w:cs="Arial"/>
        </w:rPr>
        <w:t xml:space="preserve"> Programa implementado para la respuesta en la atención a emergencias del Cuerpo Oficial de Bomberos de Bogotá, apalancado en redes de conocimiento y prevención del riesgo.</w:t>
      </w:r>
    </w:p>
    <w:p w:rsidR="00D35DC7" w:rsidRDefault="00982954">
      <w:pPr>
        <w:shd w:val="clear" w:color="auto" w:fill="FFFFFF"/>
        <w:spacing w:line="360" w:lineRule="auto"/>
        <w:jc w:val="both"/>
        <w:rPr>
          <w:rFonts w:ascii="Arial" w:eastAsia="Arial" w:hAnsi="Arial" w:cs="Arial"/>
        </w:rPr>
      </w:pPr>
      <w:r>
        <w:rPr>
          <w:rFonts w:ascii="Arial" w:eastAsia="Arial" w:hAnsi="Arial" w:cs="Arial"/>
          <w:b/>
        </w:rPr>
        <w:t xml:space="preserve">Indicador Resultado: </w:t>
      </w:r>
      <w:r>
        <w:rPr>
          <w:rFonts w:ascii="Arial" w:eastAsia="Arial" w:hAnsi="Arial" w:cs="Arial"/>
        </w:rPr>
        <w:t xml:space="preserve">Disminuir a 9:04 minutos Tiempo promedio de respuesta. </w:t>
      </w:r>
      <w:r>
        <w:rPr>
          <w:rFonts w:ascii="Arial" w:eastAsia="Arial" w:hAnsi="Arial" w:cs="Arial"/>
          <w:b/>
        </w:rPr>
        <w:t xml:space="preserve">Variables: </w:t>
      </w:r>
      <w:r>
        <w:rPr>
          <w:rFonts w:ascii="Arial" w:eastAsia="Arial" w:hAnsi="Arial" w:cs="Arial"/>
        </w:rPr>
        <w:t>servicios Incendios, Incidentes con Materiales Peligrosos – Matpel, Rescates y Explosiones (IMER)</w:t>
      </w:r>
    </w:p>
    <w:p w:rsidR="00D35DC7" w:rsidRDefault="00982954">
      <w:pPr>
        <w:shd w:val="clear" w:color="auto" w:fill="FFFFFF"/>
        <w:spacing w:line="360" w:lineRule="auto"/>
        <w:jc w:val="both"/>
        <w:rPr>
          <w:rFonts w:ascii="Arial" w:eastAsia="Arial" w:hAnsi="Arial" w:cs="Arial"/>
        </w:rPr>
      </w:pPr>
      <w:r>
        <w:rPr>
          <w:rFonts w:ascii="Arial" w:eastAsia="Arial" w:hAnsi="Arial" w:cs="Arial"/>
          <w:b/>
        </w:rPr>
        <w:t>Meta PDD:</w:t>
      </w:r>
      <w:r>
        <w:rPr>
          <w:rFonts w:ascii="Arial" w:eastAsia="Arial" w:hAnsi="Arial" w:cs="Arial"/>
        </w:rPr>
        <w:t xml:space="preserve"> Desarrollar un plan para el fortalecimiento del modelo integrado de planeación y gestión administrativa de la UAECOB.</w:t>
      </w:r>
    </w:p>
    <w:p w:rsidR="00D35DC7" w:rsidRDefault="00D35DC7">
      <w:pPr>
        <w:shd w:val="clear" w:color="auto" w:fill="FFFFFF"/>
        <w:spacing w:line="360" w:lineRule="auto"/>
        <w:jc w:val="both"/>
        <w:rPr>
          <w:rFonts w:ascii="Arial" w:eastAsia="Arial" w:hAnsi="Arial" w:cs="Arial"/>
        </w:rPr>
      </w:pPr>
    </w:p>
    <w:p w:rsidR="00D35DC7" w:rsidRDefault="00982954">
      <w:pPr>
        <w:shd w:val="clear" w:color="auto" w:fill="FFFFFF"/>
        <w:spacing w:line="360" w:lineRule="auto"/>
        <w:jc w:val="both"/>
        <w:rPr>
          <w:rFonts w:ascii="Arial" w:eastAsia="Arial" w:hAnsi="Arial" w:cs="Arial"/>
          <w:b/>
        </w:rPr>
      </w:pPr>
      <w:r>
        <w:rPr>
          <w:rFonts w:ascii="Arial" w:eastAsia="Arial" w:hAnsi="Arial" w:cs="Arial"/>
          <w:b/>
        </w:rPr>
        <w:t>Objetivo Estratégico 5: Bogotá Confía en su Gobierno</w:t>
      </w:r>
    </w:p>
    <w:p w:rsidR="00D35DC7" w:rsidRDefault="00D35DC7">
      <w:pPr>
        <w:shd w:val="clear" w:color="auto" w:fill="FFFFFF"/>
        <w:spacing w:line="360" w:lineRule="auto"/>
        <w:jc w:val="both"/>
        <w:rPr>
          <w:rFonts w:ascii="Arial" w:eastAsia="Arial" w:hAnsi="Arial" w:cs="Arial"/>
        </w:rPr>
      </w:pPr>
    </w:p>
    <w:p w:rsidR="00D35DC7" w:rsidRDefault="00982954">
      <w:pPr>
        <w:shd w:val="clear" w:color="auto" w:fill="FFFFFF"/>
        <w:spacing w:line="360" w:lineRule="auto"/>
        <w:jc w:val="both"/>
        <w:rPr>
          <w:rFonts w:ascii="Arial" w:eastAsia="Arial" w:hAnsi="Arial" w:cs="Arial"/>
        </w:rPr>
      </w:pPr>
      <w:r>
        <w:rPr>
          <w:rFonts w:ascii="Arial" w:eastAsia="Arial" w:hAnsi="Arial" w:cs="Arial"/>
          <w:b/>
        </w:rPr>
        <w:t xml:space="preserve">Estrategia: </w:t>
      </w:r>
      <w:r>
        <w:rPr>
          <w:rFonts w:ascii="Arial" w:eastAsia="Arial" w:hAnsi="Arial" w:cs="Arial"/>
        </w:rPr>
        <w:t>Bogotá se moderniza con un gobierno cercano, eficiente, transparente e íntegro.</w:t>
      </w:r>
    </w:p>
    <w:p w:rsidR="00D35DC7" w:rsidRDefault="00982954">
      <w:pPr>
        <w:shd w:val="clear" w:color="auto" w:fill="FFFFFF"/>
        <w:spacing w:line="360" w:lineRule="auto"/>
        <w:jc w:val="both"/>
        <w:rPr>
          <w:rFonts w:ascii="Arial" w:eastAsia="Arial" w:hAnsi="Arial" w:cs="Arial"/>
        </w:rPr>
      </w:pPr>
      <w:r>
        <w:rPr>
          <w:rFonts w:ascii="Arial" w:eastAsia="Arial" w:hAnsi="Arial" w:cs="Arial"/>
          <w:b/>
        </w:rPr>
        <w:t>Programa:</w:t>
      </w:r>
      <w:r>
        <w:rPr>
          <w:rFonts w:ascii="Arial" w:eastAsia="Arial" w:hAnsi="Arial" w:cs="Arial"/>
        </w:rPr>
        <w:t xml:space="preserve"> Gobernanza pública, moderna, íntegra y transparente.</w:t>
      </w:r>
    </w:p>
    <w:p w:rsidR="00D35DC7" w:rsidRDefault="00D35DC7">
      <w:pPr>
        <w:shd w:val="clear" w:color="auto" w:fill="FFFFFF"/>
        <w:spacing w:line="360" w:lineRule="auto"/>
        <w:jc w:val="both"/>
        <w:rPr>
          <w:rFonts w:ascii="Arial" w:eastAsia="Arial" w:hAnsi="Arial" w:cs="Arial"/>
        </w:rPr>
      </w:pPr>
    </w:p>
    <w:p w:rsidR="00D35DC7" w:rsidRDefault="00982954">
      <w:pPr>
        <w:shd w:val="clear" w:color="auto" w:fill="FFFFFF"/>
        <w:spacing w:line="360" w:lineRule="auto"/>
        <w:jc w:val="both"/>
        <w:rPr>
          <w:rFonts w:ascii="Arial" w:eastAsia="Arial" w:hAnsi="Arial" w:cs="Arial"/>
        </w:rPr>
      </w:pPr>
      <w:r>
        <w:rPr>
          <w:rFonts w:ascii="Arial" w:eastAsia="Arial" w:hAnsi="Arial" w:cs="Arial"/>
          <w:b/>
        </w:rPr>
        <w:t xml:space="preserve">Alcance Meta: </w:t>
      </w:r>
      <w:r>
        <w:rPr>
          <w:rFonts w:ascii="Arial" w:eastAsia="Arial" w:hAnsi="Arial" w:cs="Arial"/>
        </w:rPr>
        <w:t>Mejorar la gestión institucional para la prestación eficiente de los servicios y el fortalecimiento de la cadena de valor a los ciudadanos en los relacionado con la gestión administrativa y de infraestructura TI, comunicaciones y seguridad de la información como soporte de la misionalidad de la entidad.</w:t>
      </w:r>
    </w:p>
    <w:p w:rsidR="00D35DC7" w:rsidRDefault="00D35DC7">
      <w:pPr>
        <w:shd w:val="clear" w:color="auto" w:fill="FFFFFF"/>
        <w:spacing w:line="360" w:lineRule="auto"/>
        <w:jc w:val="both"/>
        <w:rPr>
          <w:rFonts w:ascii="Arial" w:eastAsia="Arial" w:hAnsi="Arial" w:cs="Arial"/>
        </w:rPr>
      </w:pPr>
    </w:p>
    <w:p w:rsidR="00D35DC7" w:rsidRDefault="00982954">
      <w:pPr>
        <w:shd w:val="clear" w:color="auto" w:fill="FFFFFF"/>
        <w:spacing w:line="360" w:lineRule="auto"/>
        <w:jc w:val="both"/>
        <w:rPr>
          <w:rFonts w:ascii="Arial" w:eastAsia="Arial" w:hAnsi="Arial" w:cs="Arial"/>
        </w:rPr>
      </w:pPr>
      <w:r>
        <w:rPr>
          <w:rFonts w:ascii="Arial" w:eastAsia="Arial" w:hAnsi="Arial" w:cs="Arial"/>
          <w:b/>
        </w:rPr>
        <w:t>Indicador Meta:</w:t>
      </w:r>
      <w:r>
        <w:rPr>
          <w:rFonts w:ascii="Arial" w:eastAsia="Arial" w:hAnsi="Arial" w:cs="Arial"/>
        </w:rPr>
        <w:t xml:space="preserve"> Porcentaje de avance en la implementación de un plan para el fortalecimiento del modelo integrado de planeación y gestión administrativa del Cuerpo Oficial de Bomberos de Bogotá.</w:t>
      </w:r>
    </w:p>
    <w:p w:rsidR="00D35DC7" w:rsidRDefault="00982954">
      <w:pPr>
        <w:shd w:val="clear" w:color="auto" w:fill="FFFFFF"/>
        <w:spacing w:before="240" w:after="240" w:line="360" w:lineRule="auto"/>
        <w:jc w:val="both"/>
        <w:rPr>
          <w:rFonts w:ascii="Arial" w:eastAsia="Arial" w:hAnsi="Arial" w:cs="Arial"/>
          <w:b/>
        </w:rPr>
      </w:pPr>
      <w:r>
        <w:rPr>
          <w:rFonts w:ascii="Arial" w:eastAsia="Arial" w:hAnsi="Arial" w:cs="Arial"/>
          <w:b/>
        </w:rPr>
        <w:t>11.Qué acciones, programas, metas se contemplaron en el Plan de Desarrollo para el cumplimiento de las obligaciones de la política pública de prevención, protección, asistencia, atención y reparación integral a las víctimas.</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El Programa 13 "Bogotá, un territorio de paz y reconciliación donde todos puedan volver a empezar", del Objetivo 2 "Bogotá Confía en su Bien-Estar", incluye las medidas necesarias para el cumplimiento de las responsabilidades territoriales en materia de la Política Pública de Atención y Reparación a las Víctimas del Conflicto Armado en sus cinco componentes: i) asistencia y atención; ii) reparación integral; iii) prevención y protección; y iv) verdad; y v) justicia.</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Este programa reconoce que el Distrito debe fortalecer la política pública de atención y reparación integral a las víctimas del conflicto armado. Es decir, fortalecer la atención que se brinda a las víctimas que llegan a la ciudad, de acuerdo a las competencias asignadas por Ley a las entidades territoriales. Esto implica la materialización del derecho a la subsistencia mínima para  conjurar la vulnerabilidad inmediata ocasionada por el desplazamiento forzado por medio de la entrega de medidas de ayuda y asistencia humanitaria inmediata. Esto incluye, el alojamiento en modalidad de   albergue o arriendo, bonos de alimentación, aseo y transporte de emergencia, entre otros. Adicionalmente, los Centros de Encuentro serán embellecidos y dignificados. La atención a las víctimas será más humana y estará centrada en la persona, en la familia, en el individuo y dándole voz a mujeres, jóvenes, adolescentes, niñas y niños.</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El PDD también contempla robustecer las medidas para la integración local de las víctimas. Para las víctimas que por distintas razones han decidido rehacer su vida en el Distrito Capital formulamos e implementamos una política pública de integración local con un modelo de atención con un enfoque de soluciones duraderas que les permita salir de la pobreza y garantizar su inclusión social y productiva.</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Finalmente, se aportará a la implementación de los PIRC de los sujetos colectivos que están presentes en Bogotá. Todo ello, contribuyendo a la implementación de las medidas de reparación colectiva que están en los PIRC territorializados.</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Este programa incluye las siguientes metas, a cargo de la OCPVR, relacionadas con la satisfacción de los derechos de las víctimas:</w:t>
      </w:r>
    </w:p>
    <w:p w:rsidR="00D35DC7" w:rsidRDefault="00982954">
      <w:pPr>
        <w:numPr>
          <w:ilvl w:val="0"/>
          <w:numId w:val="3"/>
        </w:numPr>
        <w:shd w:val="clear" w:color="auto" w:fill="FFFFFF"/>
        <w:spacing w:line="360" w:lineRule="auto"/>
        <w:rPr>
          <w:rFonts w:ascii="Arial" w:eastAsia="Arial" w:hAnsi="Arial" w:cs="Arial"/>
        </w:rPr>
      </w:pPr>
      <w:r>
        <w:rPr>
          <w:rFonts w:ascii="Arial" w:eastAsia="Arial" w:hAnsi="Arial" w:cs="Arial"/>
        </w:rPr>
        <w:t>Consolidar 1 modelo de integración de servicios institucionales a nivel territorial para las víctimas del conflicto orientado a la reparación integral y a la superación de su condición de vulnerabilidad, conforme a las competencias del Distrito.</w:t>
      </w:r>
    </w:p>
    <w:p w:rsidR="00D35DC7" w:rsidRDefault="00982954">
      <w:pPr>
        <w:numPr>
          <w:ilvl w:val="0"/>
          <w:numId w:val="3"/>
        </w:numPr>
        <w:shd w:val="clear" w:color="auto" w:fill="FFFFFF"/>
        <w:spacing w:after="240" w:line="360" w:lineRule="auto"/>
        <w:rPr>
          <w:rFonts w:ascii="Arial" w:eastAsia="Arial" w:hAnsi="Arial" w:cs="Arial"/>
        </w:rPr>
      </w:pPr>
      <w:r>
        <w:rPr>
          <w:rFonts w:ascii="Arial" w:eastAsia="Arial" w:hAnsi="Arial" w:cs="Arial"/>
        </w:rPr>
        <w:t>Implementar al 100% las medidas de atención y asistencia a víctimas conforme a la competencia del Distrito.</w:t>
      </w:r>
    </w:p>
    <w:p w:rsidR="00D35DC7" w:rsidRDefault="00982954">
      <w:pPr>
        <w:shd w:val="clear" w:color="auto" w:fill="FFFFFF"/>
        <w:spacing w:after="240" w:line="360" w:lineRule="auto"/>
        <w:rPr>
          <w:rFonts w:ascii="Arial" w:eastAsia="Arial" w:hAnsi="Arial" w:cs="Arial"/>
        </w:rPr>
      </w:pPr>
      <w:r>
        <w:rPr>
          <w:rFonts w:ascii="Arial" w:eastAsia="Arial" w:hAnsi="Arial" w:cs="Arial"/>
        </w:rPr>
        <w:t>Además, se incluye una meta adicional del sector Gobierno relacionada con rutas de prevención de vulneraciones de los derechos humanos.</w:t>
      </w:r>
    </w:p>
    <w:p w:rsidR="00D35DC7" w:rsidRDefault="00982954">
      <w:pPr>
        <w:shd w:val="clear" w:color="auto" w:fill="FFFFFF"/>
        <w:spacing w:before="240" w:line="360" w:lineRule="auto"/>
        <w:ind w:left="360"/>
        <w:jc w:val="both"/>
        <w:rPr>
          <w:rFonts w:ascii="Arial" w:eastAsia="Arial" w:hAnsi="Arial" w:cs="Arial"/>
        </w:rPr>
      </w:pPr>
      <w:r>
        <w:rPr>
          <w:rFonts w:ascii="Arial" w:eastAsia="Arial" w:hAnsi="Arial" w:cs="Arial"/>
        </w:rPr>
        <w:t xml:space="preserve">1. </w:t>
      </w:r>
      <w:r>
        <w:rPr>
          <w:rFonts w:ascii="Arial" w:eastAsia="Arial" w:hAnsi="Arial" w:cs="Arial"/>
        </w:rPr>
        <w:tab/>
        <w:t>Atender el 100% de las personas que ingresan a las rutas prevención de vulneraciones de los derechos humanos de personas de los sectores sociales LGTBIQ+, víctimas de trata de personas, víctimas de abuso de autoridad, defensores y defensoras de derechos humanos, población en proceso de reintegración o reincorporación y a la atención de derechos fundamentales de religión, culto y conciencia.</w:t>
      </w:r>
    </w:p>
    <w:p w:rsidR="00D35DC7" w:rsidRDefault="00D35DC7">
      <w:pPr>
        <w:shd w:val="clear" w:color="auto" w:fill="FFFFFF"/>
        <w:spacing w:line="360" w:lineRule="auto"/>
        <w:jc w:val="both"/>
        <w:rPr>
          <w:rFonts w:ascii="Arial" w:eastAsia="Arial" w:hAnsi="Arial" w:cs="Arial"/>
        </w:rPr>
      </w:pPr>
    </w:p>
    <w:p w:rsidR="00D35DC7" w:rsidRDefault="00982954">
      <w:pPr>
        <w:shd w:val="clear" w:color="auto" w:fill="FFFFFF"/>
        <w:spacing w:line="360" w:lineRule="auto"/>
        <w:jc w:val="both"/>
        <w:rPr>
          <w:rFonts w:ascii="Arial" w:eastAsia="Arial" w:hAnsi="Arial" w:cs="Arial"/>
        </w:rPr>
      </w:pPr>
      <w:r>
        <w:rPr>
          <w:rFonts w:ascii="Arial" w:eastAsia="Arial" w:hAnsi="Arial" w:cs="Arial"/>
        </w:rPr>
        <w:t>Finalmente, se incluye una meta del sector Salud relacionadas con medidas de rehabilitación:</w:t>
      </w:r>
    </w:p>
    <w:p w:rsidR="00D35DC7" w:rsidRDefault="00982954">
      <w:pPr>
        <w:shd w:val="clear" w:color="auto" w:fill="FFFFFF"/>
        <w:spacing w:before="240" w:after="120" w:line="360" w:lineRule="auto"/>
        <w:ind w:left="360"/>
        <w:jc w:val="both"/>
        <w:rPr>
          <w:rFonts w:ascii="Arial" w:eastAsia="Arial" w:hAnsi="Arial" w:cs="Arial"/>
        </w:rPr>
      </w:pPr>
      <w:r>
        <w:rPr>
          <w:rFonts w:ascii="Arial" w:eastAsia="Arial" w:hAnsi="Arial" w:cs="Arial"/>
        </w:rPr>
        <w:t xml:space="preserve">1. </w:t>
      </w:r>
      <w:r>
        <w:rPr>
          <w:rFonts w:ascii="Arial" w:eastAsia="Arial" w:hAnsi="Arial" w:cs="Arial"/>
        </w:rPr>
        <w:tab/>
        <w:t>Garantizar el acceso a 17.280 personas víctimas del conflicto armado, a las medidas de rehabilitación establecidas en la Ley 1448 de 2011, a través del desarrollo del componente de atención psicosocial del PAPSIVI y de sus estrategias diferenciales.</w:t>
      </w:r>
    </w:p>
    <w:p w:rsidR="00D35DC7" w:rsidRDefault="00982954">
      <w:pPr>
        <w:shd w:val="clear" w:color="auto" w:fill="FFFFFF"/>
        <w:spacing w:before="240" w:after="120" w:line="360" w:lineRule="auto"/>
        <w:jc w:val="both"/>
        <w:rPr>
          <w:rFonts w:ascii="Arial" w:eastAsia="Arial" w:hAnsi="Arial" w:cs="Arial"/>
          <w:b/>
        </w:rPr>
      </w:pPr>
      <w:r>
        <w:rPr>
          <w:rFonts w:ascii="Arial" w:eastAsia="Arial" w:hAnsi="Arial" w:cs="Arial"/>
          <w:b/>
        </w:rPr>
        <w:t>12. Explicar porque la actualización de las políticas públicas no quedó incluida en el plan de desarrollo.</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En el marco de las funciones de Secretaría Técnica del CONPES D.C., la Secretaría Distrital de Planeación expidió la Circular 001 de 2024, la cual establece los lineamientos para la solicitud de ajustes a los planes de acción o documentos de las políticas públicas distritales. En estos términos, se formalizó el mecanismo para que las entidades líderes de la implementación de las políticas, al identificar variaciones en las acciones planteadas en el plan de acción, o frente al cumplimiento de lo establecido en la cadena de valor, presenten ante la Secretaría Técnica del CONPES D.C. las modificaciones necesarias para mejorar la ejecución de la política pública.</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Por lo anterior, la actualización o ajustes de las políticas públicas es una acción que se considera en el ejercicio de implementación y seguimiento del plan de acción o como resultado de una evaluación a lo largo de la vigencia de la política pública. Adicionalmente, las políticas públicas, como instrumentos de planeación de largo plazo, son formuladas estableciendo productos y resultados que deben implementarse independientemente del cambio de Administración Distrital. Se adjunta la circular y el procedimiento establecido para realizar ajustes a los planes de acción y documentos de política pública.</w:t>
      </w:r>
    </w:p>
    <w:p w:rsidR="00D35DC7" w:rsidRDefault="00982954">
      <w:pPr>
        <w:shd w:val="clear" w:color="auto" w:fill="FFFFFF"/>
        <w:spacing w:before="240" w:after="240" w:line="360" w:lineRule="auto"/>
        <w:jc w:val="both"/>
        <w:rPr>
          <w:rFonts w:ascii="Arial" w:eastAsia="Arial" w:hAnsi="Arial" w:cs="Arial"/>
          <w:color w:val="333333"/>
        </w:rPr>
      </w:pPr>
      <w:r>
        <w:rPr>
          <w:rFonts w:ascii="Arial" w:eastAsia="Arial" w:hAnsi="Arial" w:cs="Arial"/>
          <w:b/>
        </w:rPr>
        <w:t xml:space="preserve">8.2. Requisitos </w:t>
      </w:r>
      <w:r>
        <w:rPr>
          <w:rFonts w:ascii="Arial" w:eastAsia="Arial" w:hAnsi="Arial" w:cs="Arial"/>
          <w:b/>
          <w:color w:val="333333"/>
        </w:rPr>
        <w:t>Acuerdo 878 de 2023</w:t>
      </w:r>
      <w:r>
        <w:rPr>
          <w:rFonts w:ascii="Arial" w:eastAsia="Arial" w:hAnsi="Arial" w:cs="Arial"/>
          <w:color w:val="333333"/>
        </w:rPr>
        <w:t>: “Por medio del cual se dictan lineamientos para el Sistema Distrital de Planeación, la creación de planes de desarrollo, se garantiza la participación ciudadana en el Distrito Capital y se dictan otras disposiciones”.</w:t>
      </w:r>
    </w:p>
    <w:p w:rsidR="00D35DC7" w:rsidRDefault="00982954">
      <w:pPr>
        <w:shd w:val="clear" w:color="auto" w:fill="FFFFFF"/>
        <w:spacing w:before="240" w:after="240" w:line="360" w:lineRule="auto"/>
        <w:jc w:val="both"/>
        <w:rPr>
          <w:rFonts w:ascii="Arial" w:eastAsia="Arial" w:hAnsi="Arial" w:cs="Arial"/>
          <w:color w:val="333333"/>
        </w:rPr>
      </w:pPr>
      <w:r>
        <w:rPr>
          <w:rFonts w:ascii="Arial" w:eastAsia="Arial" w:hAnsi="Arial" w:cs="Arial"/>
          <w:b/>
          <w:color w:val="333333"/>
        </w:rPr>
        <w:t>Artículo 43. CONTENIDO.</w:t>
      </w:r>
      <w:r>
        <w:rPr>
          <w:rFonts w:ascii="Arial" w:eastAsia="Arial" w:hAnsi="Arial" w:cs="Arial"/>
          <w:color w:val="333333"/>
        </w:rPr>
        <w:t xml:space="preserve"> El Plan Distrital de Desarrollo estará conformado por una parte estratégica general, un plan de inversiones de corto y mediano plazo y un programa de ejecució</w:t>
      </w:r>
      <w:r>
        <w:rPr>
          <w:rFonts w:ascii="Arial" w:eastAsia="Arial" w:hAnsi="Arial" w:cs="Arial"/>
        </w:rPr>
        <w:t xml:space="preserve">n del Plan de Ordenamiento Territorial, de acuerdo con lo establecido en el artículo </w:t>
      </w:r>
      <w:hyperlink r:id="rId26" w:anchor="339">
        <w:r>
          <w:rPr>
            <w:rFonts w:ascii="Arial" w:eastAsia="Arial" w:hAnsi="Arial" w:cs="Arial"/>
            <w:u w:val="single"/>
          </w:rPr>
          <w:t>339</w:t>
        </w:r>
      </w:hyperlink>
      <w:r>
        <w:rPr>
          <w:rFonts w:ascii="Arial" w:eastAsia="Arial" w:hAnsi="Arial" w:cs="Arial"/>
        </w:rPr>
        <w:t xml:space="preserve"> de la Constitución Nacional, articulo </w:t>
      </w:r>
      <w:hyperlink r:id="rId27" w:anchor="18">
        <w:r>
          <w:rPr>
            <w:rFonts w:ascii="Arial" w:eastAsia="Arial" w:hAnsi="Arial" w:cs="Arial"/>
            <w:u w:val="single"/>
          </w:rPr>
          <w:t>18</w:t>
        </w:r>
      </w:hyperlink>
      <w:r>
        <w:rPr>
          <w:rFonts w:ascii="Arial" w:eastAsia="Arial" w:hAnsi="Arial" w:cs="Arial"/>
        </w:rPr>
        <w:t xml:space="preserve"> de</w:t>
      </w:r>
      <w:r>
        <w:rPr>
          <w:rFonts w:ascii="Arial" w:eastAsia="Arial" w:hAnsi="Arial" w:cs="Arial"/>
          <w:color w:val="333333"/>
        </w:rPr>
        <w:t xml:space="preserve"> la Ley 388 de 1997, así como la normatividad del Régimen Presupuestal y Planeación Distrital.</w:t>
      </w:r>
    </w:p>
    <w:p w:rsidR="00D35DC7" w:rsidRDefault="00D35DC7">
      <w:pPr>
        <w:widowControl w:val="0"/>
        <w:spacing w:line="276" w:lineRule="auto"/>
        <w:rPr>
          <w:rFonts w:ascii="Arial" w:eastAsia="Arial" w:hAnsi="Arial" w:cs="Arial"/>
          <w:sz w:val="22"/>
          <w:szCs w:val="22"/>
        </w:rPr>
      </w:pPr>
    </w:p>
    <w:tbl>
      <w:tblPr>
        <w:tblStyle w:val="a9"/>
        <w:tblW w:w="898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80"/>
        <w:gridCol w:w="3405"/>
        <w:gridCol w:w="3000"/>
      </w:tblGrid>
      <w:tr w:rsidR="00D35DC7">
        <w:trPr>
          <w:tblHeader/>
        </w:trPr>
        <w:tc>
          <w:tcPr>
            <w:tcW w:w="2580" w:type="dxa"/>
          </w:tcPr>
          <w:p w:rsidR="00D35DC7" w:rsidRDefault="00982954">
            <w:pPr>
              <w:spacing w:line="276" w:lineRule="auto"/>
              <w:jc w:val="center"/>
              <w:rPr>
                <w:rFonts w:ascii="Arial" w:eastAsia="Arial" w:hAnsi="Arial" w:cs="Arial"/>
                <w:b/>
                <w:sz w:val="18"/>
                <w:szCs w:val="18"/>
              </w:rPr>
            </w:pPr>
            <w:r>
              <w:rPr>
                <w:rFonts w:ascii="Arial" w:eastAsia="Arial" w:hAnsi="Arial" w:cs="Arial"/>
                <w:b/>
                <w:sz w:val="18"/>
                <w:szCs w:val="18"/>
              </w:rPr>
              <w:t>Requisitos Cumplimiento Acuerdo 878 de 2023</w:t>
            </w:r>
          </w:p>
        </w:tc>
        <w:tc>
          <w:tcPr>
            <w:tcW w:w="3405" w:type="dxa"/>
          </w:tcPr>
          <w:p w:rsidR="00D35DC7" w:rsidRDefault="00982954">
            <w:pPr>
              <w:spacing w:line="276" w:lineRule="auto"/>
              <w:jc w:val="center"/>
              <w:rPr>
                <w:rFonts w:ascii="Arial" w:eastAsia="Arial" w:hAnsi="Arial" w:cs="Arial"/>
                <w:b/>
                <w:sz w:val="18"/>
                <w:szCs w:val="18"/>
              </w:rPr>
            </w:pPr>
            <w:r>
              <w:rPr>
                <w:rFonts w:ascii="Arial" w:eastAsia="Arial" w:hAnsi="Arial" w:cs="Arial"/>
                <w:b/>
                <w:sz w:val="18"/>
                <w:szCs w:val="18"/>
              </w:rPr>
              <w:t xml:space="preserve">Documento Bases </w:t>
            </w:r>
          </w:p>
        </w:tc>
        <w:tc>
          <w:tcPr>
            <w:tcW w:w="3000" w:type="dxa"/>
          </w:tcPr>
          <w:p w:rsidR="00D35DC7" w:rsidRDefault="00982954">
            <w:pPr>
              <w:spacing w:line="276" w:lineRule="auto"/>
              <w:jc w:val="center"/>
              <w:rPr>
                <w:rFonts w:ascii="Arial" w:eastAsia="Arial" w:hAnsi="Arial" w:cs="Arial"/>
                <w:b/>
                <w:sz w:val="18"/>
                <w:szCs w:val="18"/>
              </w:rPr>
            </w:pPr>
            <w:r>
              <w:rPr>
                <w:rFonts w:ascii="Arial" w:eastAsia="Arial" w:hAnsi="Arial" w:cs="Arial"/>
                <w:b/>
                <w:sz w:val="18"/>
                <w:szCs w:val="18"/>
              </w:rPr>
              <w:t>Articulado del Proyecto del Plan</w:t>
            </w:r>
          </w:p>
        </w:tc>
      </w:tr>
      <w:tr w:rsidR="00D35DC7">
        <w:tc>
          <w:tcPr>
            <w:tcW w:w="2580" w:type="dxa"/>
          </w:tcPr>
          <w:p w:rsidR="00D35DC7" w:rsidRDefault="00982954">
            <w:pPr>
              <w:rPr>
                <w:rFonts w:ascii="Arial" w:eastAsia="Arial" w:hAnsi="Arial" w:cs="Arial"/>
                <w:sz w:val="18"/>
                <w:szCs w:val="18"/>
              </w:rPr>
            </w:pPr>
            <w:r>
              <w:rPr>
                <w:rFonts w:ascii="Arial" w:eastAsia="Arial" w:hAnsi="Arial" w:cs="Arial"/>
                <w:sz w:val="18"/>
                <w:szCs w:val="18"/>
              </w:rPr>
              <w:t>La parte estratégica general del Plan contendrá lo siguiente:</w:t>
            </w:r>
          </w:p>
          <w:p w:rsidR="00D35DC7" w:rsidRDefault="00982954">
            <w:pPr>
              <w:spacing w:after="200"/>
              <w:rPr>
                <w:rFonts w:ascii="Arial" w:eastAsia="Arial" w:hAnsi="Arial" w:cs="Arial"/>
                <w:sz w:val="18"/>
                <w:szCs w:val="18"/>
              </w:rPr>
            </w:pPr>
            <w:r>
              <w:rPr>
                <w:rFonts w:ascii="Arial" w:eastAsia="Arial" w:hAnsi="Arial" w:cs="Arial"/>
                <w:sz w:val="18"/>
                <w:szCs w:val="18"/>
              </w:rPr>
              <w:t>Visión</w:t>
            </w:r>
          </w:p>
        </w:tc>
        <w:tc>
          <w:tcPr>
            <w:tcW w:w="3405" w:type="dxa"/>
          </w:tcPr>
          <w:p w:rsidR="00D35DC7" w:rsidRDefault="00982954">
            <w:pPr>
              <w:rPr>
                <w:rFonts w:ascii="Arial" w:eastAsia="Arial" w:hAnsi="Arial" w:cs="Arial"/>
                <w:sz w:val="18"/>
                <w:szCs w:val="18"/>
              </w:rPr>
            </w:pPr>
            <w:r>
              <w:rPr>
                <w:rFonts w:ascii="Arial" w:eastAsia="Arial" w:hAnsi="Arial" w:cs="Arial"/>
                <w:sz w:val="18"/>
                <w:szCs w:val="18"/>
              </w:rPr>
              <w:t>Visión de ciudad (Página 5.)</w:t>
            </w:r>
          </w:p>
        </w:tc>
        <w:tc>
          <w:tcPr>
            <w:tcW w:w="3000" w:type="dxa"/>
          </w:tcPr>
          <w:p w:rsidR="00D35DC7" w:rsidRDefault="00982954">
            <w:pPr>
              <w:rPr>
                <w:rFonts w:ascii="Arial" w:eastAsia="Arial" w:hAnsi="Arial" w:cs="Arial"/>
                <w:sz w:val="18"/>
                <w:szCs w:val="18"/>
              </w:rPr>
            </w:pPr>
            <w:r>
              <w:rPr>
                <w:rFonts w:ascii="Arial" w:eastAsia="Arial" w:hAnsi="Arial" w:cs="Arial"/>
                <w:sz w:val="18"/>
                <w:szCs w:val="18"/>
              </w:rPr>
              <w:t>Artículo 2. Visión 2027 - Bogotá será la ciudad del bien-estar</w:t>
            </w:r>
          </w:p>
        </w:tc>
      </w:tr>
      <w:tr w:rsidR="00D35DC7">
        <w:tc>
          <w:tcPr>
            <w:tcW w:w="2580" w:type="dxa"/>
          </w:tcPr>
          <w:p w:rsidR="00D35DC7" w:rsidRDefault="00982954">
            <w:pPr>
              <w:rPr>
                <w:rFonts w:ascii="Arial" w:eastAsia="Arial" w:hAnsi="Arial" w:cs="Arial"/>
                <w:sz w:val="18"/>
                <w:szCs w:val="18"/>
              </w:rPr>
            </w:pPr>
            <w:r>
              <w:rPr>
                <w:rFonts w:ascii="Arial" w:eastAsia="Arial" w:hAnsi="Arial" w:cs="Arial"/>
                <w:sz w:val="18"/>
                <w:szCs w:val="18"/>
              </w:rPr>
              <w:t>La parte estratégica general del Plan contendrá lo siguiente:</w:t>
            </w:r>
          </w:p>
          <w:p w:rsidR="00D35DC7" w:rsidRDefault="00982954">
            <w:pPr>
              <w:spacing w:after="200"/>
              <w:rPr>
                <w:rFonts w:ascii="Arial" w:eastAsia="Arial" w:hAnsi="Arial" w:cs="Arial"/>
                <w:sz w:val="18"/>
                <w:szCs w:val="18"/>
              </w:rPr>
            </w:pPr>
            <w:r>
              <w:rPr>
                <w:rFonts w:ascii="Arial" w:eastAsia="Arial" w:hAnsi="Arial" w:cs="Arial"/>
                <w:sz w:val="18"/>
                <w:szCs w:val="18"/>
              </w:rPr>
              <w:t xml:space="preserve">Objetivo general </w:t>
            </w:r>
          </w:p>
        </w:tc>
        <w:tc>
          <w:tcPr>
            <w:tcW w:w="3405" w:type="dxa"/>
          </w:tcPr>
          <w:p w:rsidR="00D35DC7" w:rsidRDefault="00982954">
            <w:pPr>
              <w:rPr>
                <w:rFonts w:ascii="Arial" w:eastAsia="Arial" w:hAnsi="Arial" w:cs="Arial"/>
                <w:sz w:val="18"/>
                <w:szCs w:val="18"/>
              </w:rPr>
            </w:pPr>
            <w:r>
              <w:rPr>
                <w:rFonts w:ascii="Arial" w:eastAsia="Arial" w:hAnsi="Arial" w:cs="Arial"/>
                <w:sz w:val="18"/>
                <w:szCs w:val="18"/>
              </w:rPr>
              <w:t xml:space="preserve">Objetivo general del plan (Página 5) </w:t>
            </w:r>
          </w:p>
        </w:tc>
        <w:tc>
          <w:tcPr>
            <w:tcW w:w="3000" w:type="dxa"/>
          </w:tcPr>
          <w:p w:rsidR="00D35DC7" w:rsidRDefault="00982954">
            <w:pPr>
              <w:rPr>
                <w:rFonts w:ascii="Arial" w:eastAsia="Arial" w:hAnsi="Arial" w:cs="Arial"/>
                <w:sz w:val="18"/>
                <w:szCs w:val="18"/>
              </w:rPr>
            </w:pPr>
            <w:r>
              <w:rPr>
                <w:rFonts w:ascii="Arial" w:eastAsia="Arial" w:hAnsi="Arial" w:cs="Arial"/>
                <w:sz w:val="18"/>
                <w:szCs w:val="18"/>
              </w:rPr>
              <w:t>Artículo 4. Objetivo general</w:t>
            </w:r>
          </w:p>
        </w:tc>
      </w:tr>
      <w:tr w:rsidR="00D35DC7">
        <w:tc>
          <w:tcPr>
            <w:tcW w:w="2580" w:type="dxa"/>
          </w:tcPr>
          <w:p w:rsidR="00D35DC7" w:rsidRDefault="00982954">
            <w:pPr>
              <w:rPr>
                <w:rFonts w:ascii="Arial" w:eastAsia="Arial" w:hAnsi="Arial" w:cs="Arial"/>
                <w:sz w:val="18"/>
                <w:szCs w:val="18"/>
              </w:rPr>
            </w:pPr>
            <w:r>
              <w:rPr>
                <w:rFonts w:ascii="Arial" w:eastAsia="Arial" w:hAnsi="Arial" w:cs="Arial"/>
                <w:sz w:val="18"/>
                <w:szCs w:val="18"/>
              </w:rPr>
              <w:t>La parte estratégica general del Plan contendrá lo siguiente:</w:t>
            </w:r>
          </w:p>
          <w:p w:rsidR="00D35DC7" w:rsidRDefault="00982954">
            <w:pPr>
              <w:spacing w:after="200"/>
              <w:rPr>
                <w:rFonts w:ascii="Arial" w:eastAsia="Arial" w:hAnsi="Arial" w:cs="Arial"/>
                <w:sz w:val="18"/>
                <w:szCs w:val="18"/>
              </w:rPr>
            </w:pPr>
            <w:r>
              <w:rPr>
                <w:rFonts w:ascii="Arial" w:eastAsia="Arial" w:hAnsi="Arial" w:cs="Arial"/>
                <w:sz w:val="18"/>
                <w:szCs w:val="18"/>
              </w:rPr>
              <w:t>Principios y/o valores</w:t>
            </w:r>
          </w:p>
        </w:tc>
        <w:tc>
          <w:tcPr>
            <w:tcW w:w="3405" w:type="dxa"/>
            <w:tcBorders>
              <w:bottom w:val="single" w:sz="8" w:space="0" w:color="000000"/>
            </w:tcBorders>
          </w:tcPr>
          <w:p w:rsidR="00D35DC7" w:rsidRDefault="00982954">
            <w:pPr>
              <w:rPr>
                <w:rFonts w:ascii="Arial" w:eastAsia="Arial" w:hAnsi="Arial" w:cs="Arial"/>
                <w:sz w:val="18"/>
                <w:szCs w:val="18"/>
              </w:rPr>
            </w:pPr>
            <w:r>
              <w:rPr>
                <w:rFonts w:ascii="Arial" w:eastAsia="Arial" w:hAnsi="Arial" w:cs="Arial"/>
                <w:sz w:val="18"/>
                <w:szCs w:val="18"/>
              </w:rPr>
              <w:t>Capítulo II. Nuestra estrategia. Nuestro modelo de gobernanza (Página 22).</w:t>
            </w:r>
          </w:p>
        </w:tc>
        <w:tc>
          <w:tcPr>
            <w:tcW w:w="3000" w:type="dxa"/>
            <w:tcBorders>
              <w:bottom w:val="single" w:sz="8" w:space="0" w:color="000000"/>
            </w:tcBorders>
          </w:tcPr>
          <w:p w:rsidR="00D35DC7" w:rsidRDefault="00982954">
            <w:pPr>
              <w:rPr>
                <w:rFonts w:ascii="Arial" w:eastAsia="Arial" w:hAnsi="Arial" w:cs="Arial"/>
                <w:sz w:val="18"/>
                <w:szCs w:val="18"/>
              </w:rPr>
            </w:pPr>
            <w:r>
              <w:rPr>
                <w:rFonts w:ascii="Arial" w:eastAsia="Arial" w:hAnsi="Arial" w:cs="Arial"/>
                <w:sz w:val="18"/>
                <w:szCs w:val="18"/>
              </w:rPr>
              <w:t>Artículo 3. Principios y valores - Nuestro modelo de Gobernanza</w:t>
            </w:r>
          </w:p>
        </w:tc>
      </w:tr>
      <w:tr w:rsidR="00D35DC7">
        <w:tc>
          <w:tcPr>
            <w:tcW w:w="2580" w:type="dxa"/>
            <w:tcBorders>
              <w:right w:val="single" w:sz="8" w:space="0" w:color="000000"/>
            </w:tcBorders>
          </w:tcPr>
          <w:p w:rsidR="00D35DC7" w:rsidRDefault="00982954">
            <w:pPr>
              <w:rPr>
                <w:rFonts w:ascii="Arial" w:eastAsia="Arial" w:hAnsi="Arial" w:cs="Arial"/>
                <w:sz w:val="18"/>
                <w:szCs w:val="18"/>
              </w:rPr>
            </w:pPr>
            <w:r>
              <w:rPr>
                <w:rFonts w:ascii="Arial" w:eastAsia="Arial" w:hAnsi="Arial" w:cs="Arial"/>
                <w:sz w:val="18"/>
                <w:szCs w:val="18"/>
              </w:rPr>
              <w:t>La parte estratégica general del Plan contendrá lo siguiente:</w:t>
            </w:r>
          </w:p>
          <w:p w:rsidR="00D35DC7" w:rsidRDefault="00982954">
            <w:pPr>
              <w:spacing w:after="200"/>
              <w:rPr>
                <w:rFonts w:ascii="Arial" w:eastAsia="Arial" w:hAnsi="Arial" w:cs="Arial"/>
                <w:sz w:val="18"/>
                <w:szCs w:val="18"/>
              </w:rPr>
            </w:pPr>
            <w:r>
              <w:rPr>
                <w:rFonts w:ascii="Arial" w:eastAsia="Arial" w:hAnsi="Arial" w:cs="Arial"/>
                <w:sz w:val="18"/>
                <w:szCs w:val="18"/>
              </w:rPr>
              <w:t>Las estrategias y políticas generales y sectoriales</w:t>
            </w:r>
          </w:p>
        </w:tc>
        <w:tc>
          <w:tcPr>
            <w:tcW w:w="3405"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rsidR="00D35DC7" w:rsidRDefault="00982954">
            <w:pPr>
              <w:jc w:val="both"/>
              <w:rPr>
                <w:rFonts w:ascii="Arial" w:eastAsia="Arial" w:hAnsi="Arial" w:cs="Arial"/>
                <w:sz w:val="18"/>
                <w:szCs w:val="18"/>
              </w:rPr>
            </w:pPr>
            <w:r>
              <w:rPr>
                <w:rFonts w:ascii="Arial" w:eastAsia="Arial" w:hAnsi="Arial" w:cs="Arial"/>
                <w:b/>
                <w:sz w:val="18"/>
                <w:szCs w:val="18"/>
              </w:rPr>
              <w:t xml:space="preserve">Estrategias del objetivo 1 </w:t>
            </w:r>
            <w:r>
              <w:rPr>
                <w:rFonts w:ascii="Arial" w:eastAsia="Arial" w:hAnsi="Arial" w:cs="Arial"/>
                <w:sz w:val="18"/>
                <w:szCs w:val="18"/>
              </w:rPr>
              <w:t>(Página 75 al 78.).</w:t>
            </w:r>
          </w:p>
          <w:p w:rsidR="00D35DC7" w:rsidRDefault="00982954">
            <w:pPr>
              <w:jc w:val="both"/>
              <w:rPr>
                <w:rFonts w:ascii="Arial" w:eastAsia="Arial" w:hAnsi="Arial" w:cs="Arial"/>
                <w:sz w:val="18"/>
                <w:szCs w:val="18"/>
              </w:rPr>
            </w:pPr>
            <w:bookmarkStart w:id="2" w:name="_heading=h.8ec9msdgj17g" w:colFirst="0" w:colLast="0"/>
            <w:bookmarkEnd w:id="2"/>
            <w:r>
              <w:rPr>
                <w:rFonts w:ascii="Arial" w:eastAsia="Arial" w:hAnsi="Arial" w:cs="Arial"/>
                <w:sz w:val="18"/>
                <w:szCs w:val="18"/>
              </w:rPr>
              <w:t>Convivencia pacífica con confianza, cultura ciudadana y prevención y atención a violencias basadas en género</w:t>
            </w:r>
          </w:p>
          <w:p w:rsidR="00D35DC7" w:rsidRDefault="00982954">
            <w:pPr>
              <w:jc w:val="both"/>
              <w:rPr>
                <w:rFonts w:ascii="Arial" w:eastAsia="Arial" w:hAnsi="Arial" w:cs="Arial"/>
                <w:sz w:val="18"/>
                <w:szCs w:val="18"/>
              </w:rPr>
            </w:pPr>
            <w:bookmarkStart w:id="3" w:name="_heading=h.p9af72hy64a6" w:colFirst="0" w:colLast="0"/>
            <w:bookmarkEnd w:id="3"/>
            <w:r>
              <w:rPr>
                <w:rFonts w:ascii="Arial" w:eastAsia="Arial" w:hAnsi="Arial" w:cs="Arial"/>
                <w:sz w:val="18"/>
                <w:szCs w:val="18"/>
              </w:rPr>
              <w:t>Seguridad y justicia fortalecidas</w:t>
            </w:r>
          </w:p>
          <w:p w:rsidR="00D35DC7" w:rsidRDefault="00982954">
            <w:pPr>
              <w:jc w:val="both"/>
              <w:rPr>
                <w:rFonts w:ascii="Arial" w:eastAsia="Arial" w:hAnsi="Arial" w:cs="Arial"/>
                <w:sz w:val="18"/>
                <w:szCs w:val="18"/>
              </w:rPr>
            </w:pPr>
            <w:bookmarkStart w:id="4" w:name="_heading=h.qg6tzip3g7tw" w:colFirst="0" w:colLast="0"/>
            <w:bookmarkEnd w:id="4"/>
            <w:r>
              <w:rPr>
                <w:rFonts w:ascii="Arial" w:eastAsia="Arial" w:hAnsi="Arial" w:cs="Arial"/>
                <w:sz w:val="18"/>
                <w:szCs w:val="18"/>
              </w:rPr>
              <w:t>Espacio público óptimo y movilidad segura</w:t>
            </w:r>
          </w:p>
          <w:p w:rsidR="00D35DC7" w:rsidRDefault="00982954">
            <w:pPr>
              <w:jc w:val="both"/>
              <w:rPr>
                <w:rFonts w:ascii="Arial" w:eastAsia="Arial" w:hAnsi="Arial" w:cs="Arial"/>
                <w:sz w:val="18"/>
                <w:szCs w:val="18"/>
              </w:rPr>
            </w:pPr>
            <w:bookmarkStart w:id="5" w:name="_heading=h.fl6bxbj1tuj1" w:colFirst="0" w:colLast="0"/>
            <w:bookmarkEnd w:id="5"/>
            <w:r>
              <w:rPr>
                <w:rFonts w:ascii="Arial" w:eastAsia="Arial" w:hAnsi="Arial" w:cs="Arial"/>
                <w:b/>
                <w:sz w:val="18"/>
                <w:szCs w:val="18"/>
              </w:rPr>
              <w:t xml:space="preserve">Estrategias del objetivo 2. </w:t>
            </w:r>
            <w:r>
              <w:rPr>
                <w:rFonts w:ascii="Arial" w:eastAsia="Arial" w:hAnsi="Arial" w:cs="Arial"/>
                <w:sz w:val="18"/>
                <w:szCs w:val="18"/>
              </w:rPr>
              <w:t>(Página 120 a la 123)</w:t>
            </w:r>
          </w:p>
          <w:p w:rsidR="00D35DC7" w:rsidRDefault="00982954">
            <w:pPr>
              <w:jc w:val="both"/>
              <w:rPr>
                <w:rFonts w:ascii="Arial" w:eastAsia="Arial" w:hAnsi="Arial" w:cs="Arial"/>
                <w:sz w:val="18"/>
                <w:szCs w:val="18"/>
              </w:rPr>
            </w:pPr>
            <w:bookmarkStart w:id="6" w:name="_heading=h.rjhx17o86yz6" w:colFirst="0" w:colLast="0"/>
            <w:bookmarkEnd w:id="6"/>
            <w:r>
              <w:rPr>
                <w:rFonts w:ascii="Arial" w:eastAsia="Arial" w:hAnsi="Arial" w:cs="Arial"/>
                <w:sz w:val="18"/>
                <w:szCs w:val="18"/>
              </w:rPr>
              <w:t>¡Bogotá, una ciudad con menos pobreza, sin hambre y sin exclusión!</w:t>
            </w:r>
          </w:p>
          <w:p w:rsidR="00D35DC7" w:rsidRDefault="00982954">
            <w:pPr>
              <w:jc w:val="both"/>
              <w:rPr>
                <w:rFonts w:ascii="Arial" w:eastAsia="Arial" w:hAnsi="Arial" w:cs="Arial"/>
                <w:sz w:val="18"/>
                <w:szCs w:val="18"/>
              </w:rPr>
            </w:pPr>
            <w:bookmarkStart w:id="7" w:name="_heading=h.yiztcn9i8vzw" w:colFirst="0" w:colLast="0"/>
            <w:bookmarkEnd w:id="7"/>
            <w:r>
              <w:rPr>
                <w:rFonts w:ascii="Arial" w:eastAsia="Arial" w:hAnsi="Arial" w:cs="Arial"/>
                <w:sz w:val="18"/>
                <w:szCs w:val="18"/>
              </w:rPr>
              <w:t>¡Bogotá, una ciudad saludable con bien-estar!</w:t>
            </w:r>
          </w:p>
          <w:p w:rsidR="00D35DC7" w:rsidRDefault="00982954">
            <w:pPr>
              <w:jc w:val="both"/>
              <w:rPr>
                <w:rFonts w:ascii="Arial" w:eastAsia="Arial" w:hAnsi="Arial" w:cs="Arial"/>
                <w:sz w:val="18"/>
                <w:szCs w:val="18"/>
              </w:rPr>
            </w:pPr>
            <w:bookmarkStart w:id="8" w:name="_heading=h.kjjtv369nc42" w:colFirst="0" w:colLast="0"/>
            <w:bookmarkEnd w:id="8"/>
            <w:r>
              <w:rPr>
                <w:rFonts w:ascii="Arial" w:eastAsia="Arial" w:hAnsi="Arial" w:cs="Arial"/>
                <w:sz w:val="18"/>
                <w:szCs w:val="18"/>
              </w:rPr>
              <w:t>¡Todas y todos con derecho a la misma ciudad!</w:t>
            </w:r>
          </w:p>
          <w:p w:rsidR="00D35DC7" w:rsidRDefault="00982954">
            <w:pPr>
              <w:jc w:val="both"/>
              <w:rPr>
                <w:rFonts w:ascii="Arial" w:eastAsia="Arial" w:hAnsi="Arial" w:cs="Arial"/>
                <w:sz w:val="18"/>
                <w:szCs w:val="18"/>
              </w:rPr>
            </w:pPr>
            <w:bookmarkStart w:id="9" w:name="_heading=h.d58erojdkh9b" w:colFirst="0" w:colLast="0"/>
            <w:bookmarkEnd w:id="9"/>
            <w:r>
              <w:rPr>
                <w:rFonts w:ascii="Arial" w:eastAsia="Arial" w:hAnsi="Arial" w:cs="Arial"/>
                <w:b/>
                <w:sz w:val="18"/>
                <w:szCs w:val="18"/>
              </w:rPr>
              <w:t xml:space="preserve">Estrategias del objetivo 3 </w:t>
            </w:r>
            <w:r>
              <w:rPr>
                <w:rFonts w:ascii="Arial" w:eastAsia="Arial" w:hAnsi="Arial" w:cs="Arial"/>
                <w:sz w:val="18"/>
                <w:szCs w:val="18"/>
              </w:rPr>
              <w:t>(Página 176 a 179)</w:t>
            </w:r>
          </w:p>
          <w:p w:rsidR="00D35DC7" w:rsidRDefault="00982954">
            <w:pPr>
              <w:jc w:val="both"/>
              <w:rPr>
                <w:rFonts w:ascii="Arial" w:eastAsia="Arial" w:hAnsi="Arial" w:cs="Arial"/>
                <w:sz w:val="18"/>
                <w:szCs w:val="18"/>
              </w:rPr>
            </w:pPr>
            <w:bookmarkStart w:id="10" w:name="_heading=h.1dgpyvgh0rg9" w:colFirst="0" w:colLast="0"/>
            <w:bookmarkEnd w:id="10"/>
            <w:r>
              <w:rPr>
                <w:rFonts w:ascii="Arial" w:eastAsia="Arial" w:hAnsi="Arial" w:cs="Arial"/>
                <w:sz w:val="18"/>
                <w:szCs w:val="18"/>
              </w:rPr>
              <w:t>La educación como derecho y pilar de desarrollo para el presente y el futuro</w:t>
            </w:r>
          </w:p>
          <w:p w:rsidR="00D35DC7" w:rsidRDefault="00982954">
            <w:pPr>
              <w:jc w:val="both"/>
              <w:rPr>
                <w:rFonts w:ascii="Arial" w:eastAsia="Arial" w:hAnsi="Arial" w:cs="Arial"/>
                <w:sz w:val="18"/>
                <w:szCs w:val="18"/>
              </w:rPr>
            </w:pPr>
            <w:bookmarkStart w:id="11" w:name="_heading=h.3sq943q3v24d" w:colFirst="0" w:colLast="0"/>
            <w:bookmarkEnd w:id="11"/>
            <w:r>
              <w:rPr>
                <w:rFonts w:ascii="Arial" w:eastAsia="Arial" w:hAnsi="Arial" w:cs="Arial"/>
                <w:sz w:val="18"/>
                <w:szCs w:val="18"/>
              </w:rPr>
              <w:t>Transformación digital y la innovación, como motor de desarrollo económico y social de Bogotá</w:t>
            </w:r>
          </w:p>
          <w:p w:rsidR="00D35DC7" w:rsidRDefault="00982954">
            <w:pPr>
              <w:jc w:val="both"/>
              <w:rPr>
                <w:rFonts w:ascii="Arial" w:eastAsia="Arial" w:hAnsi="Arial" w:cs="Arial"/>
                <w:sz w:val="18"/>
                <w:szCs w:val="18"/>
              </w:rPr>
            </w:pPr>
            <w:bookmarkStart w:id="12" w:name="_heading=h.36n246r1fl50" w:colFirst="0" w:colLast="0"/>
            <w:bookmarkEnd w:id="12"/>
            <w:r>
              <w:rPr>
                <w:rFonts w:ascii="Arial" w:eastAsia="Arial" w:hAnsi="Arial" w:cs="Arial"/>
                <w:sz w:val="18"/>
                <w:szCs w:val="18"/>
              </w:rPr>
              <w:t>Bogotá reduce el desempleo y fortalece el emprendimiento productivo reconociendo las diferencias y diversidades de su población</w:t>
            </w:r>
          </w:p>
          <w:p w:rsidR="00D35DC7" w:rsidRDefault="00982954">
            <w:pPr>
              <w:jc w:val="both"/>
              <w:rPr>
                <w:rFonts w:ascii="Arial" w:eastAsia="Arial" w:hAnsi="Arial" w:cs="Arial"/>
                <w:sz w:val="18"/>
                <w:szCs w:val="18"/>
              </w:rPr>
            </w:pPr>
            <w:bookmarkStart w:id="13" w:name="_heading=h.2adebsd8x78j" w:colFirst="0" w:colLast="0"/>
            <w:bookmarkEnd w:id="13"/>
            <w:r>
              <w:rPr>
                <w:rFonts w:ascii="Arial" w:eastAsia="Arial" w:hAnsi="Arial" w:cs="Arial"/>
                <w:b/>
                <w:sz w:val="18"/>
                <w:szCs w:val="18"/>
              </w:rPr>
              <w:t xml:space="preserve">Estrategias del objetivo 4 </w:t>
            </w:r>
            <w:r>
              <w:rPr>
                <w:rFonts w:ascii="Arial" w:eastAsia="Arial" w:hAnsi="Arial" w:cs="Arial"/>
                <w:sz w:val="18"/>
                <w:szCs w:val="18"/>
              </w:rPr>
              <w:t>(Página 225 a 228)</w:t>
            </w:r>
          </w:p>
          <w:p w:rsidR="00D35DC7" w:rsidRDefault="00982954">
            <w:pPr>
              <w:jc w:val="both"/>
              <w:rPr>
                <w:rFonts w:ascii="Arial" w:eastAsia="Arial" w:hAnsi="Arial" w:cs="Arial"/>
                <w:sz w:val="18"/>
                <w:szCs w:val="18"/>
              </w:rPr>
            </w:pPr>
            <w:bookmarkStart w:id="14" w:name="_heading=h.vay036g0b1mf" w:colFirst="0" w:colLast="0"/>
            <w:bookmarkEnd w:id="14"/>
            <w:r>
              <w:rPr>
                <w:rFonts w:ascii="Arial" w:eastAsia="Arial" w:hAnsi="Arial" w:cs="Arial"/>
                <w:sz w:val="18"/>
                <w:szCs w:val="18"/>
              </w:rPr>
              <w:t>Bogotá le apuesta a un desarrollo urbano-rural integral y sostenible</w:t>
            </w:r>
          </w:p>
          <w:p w:rsidR="00D35DC7" w:rsidRDefault="00982954">
            <w:pPr>
              <w:jc w:val="both"/>
              <w:rPr>
                <w:rFonts w:ascii="Arial" w:eastAsia="Arial" w:hAnsi="Arial" w:cs="Arial"/>
                <w:sz w:val="18"/>
                <w:szCs w:val="18"/>
              </w:rPr>
            </w:pPr>
            <w:bookmarkStart w:id="15" w:name="_heading=h.om7co4gef1ng" w:colFirst="0" w:colLast="0"/>
            <w:bookmarkEnd w:id="15"/>
            <w:r>
              <w:rPr>
                <w:rFonts w:ascii="Arial" w:eastAsia="Arial" w:hAnsi="Arial" w:cs="Arial"/>
                <w:sz w:val="18"/>
                <w:szCs w:val="18"/>
              </w:rPr>
              <w:t>Bogotá protege el ambiente y se compromete con la acción climática</w:t>
            </w:r>
          </w:p>
          <w:p w:rsidR="00D35DC7" w:rsidRDefault="00982954">
            <w:pPr>
              <w:jc w:val="both"/>
              <w:rPr>
                <w:rFonts w:ascii="Arial" w:eastAsia="Arial" w:hAnsi="Arial" w:cs="Arial"/>
                <w:sz w:val="18"/>
                <w:szCs w:val="18"/>
              </w:rPr>
            </w:pPr>
            <w:bookmarkStart w:id="16" w:name="_heading=h.4jflswt7dkj1" w:colFirst="0" w:colLast="0"/>
            <w:bookmarkEnd w:id="16"/>
            <w:r>
              <w:rPr>
                <w:rFonts w:ascii="Arial" w:eastAsia="Arial" w:hAnsi="Arial" w:cs="Arial"/>
                <w:sz w:val="18"/>
                <w:szCs w:val="18"/>
              </w:rPr>
              <w:t>Bogotá le apuesta a un hábitat incluyente</w:t>
            </w:r>
          </w:p>
          <w:p w:rsidR="00D35DC7" w:rsidRDefault="00982954">
            <w:pPr>
              <w:jc w:val="both"/>
              <w:rPr>
                <w:rFonts w:ascii="Arial" w:eastAsia="Arial" w:hAnsi="Arial" w:cs="Arial"/>
                <w:sz w:val="18"/>
                <w:szCs w:val="18"/>
              </w:rPr>
            </w:pPr>
            <w:bookmarkStart w:id="17" w:name="_heading=h.vj11vlboxvxl" w:colFirst="0" w:colLast="0"/>
            <w:bookmarkEnd w:id="17"/>
            <w:r>
              <w:rPr>
                <w:rFonts w:ascii="Arial" w:eastAsia="Arial" w:hAnsi="Arial" w:cs="Arial"/>
                <w:b/>
                <w:sz w:val="18"/>
                <w:szCs w:val="18"/>
              </w:rPr>
              <w:t xml:space="preserve">Estrategias del objetivo 5 </w:t>
            </w:r>
            <w:r>
              <w:rPr>
                <w:rFonts w:ascii="Arial" w:eastAsia="Arial" w:hAnsi="Arial" w:cs="Arial"/>
                <w:sz w:val="18"/>
                <w:szCs w:val="18"/>
              </w:rPr>
              <w:t>(Página 297 a 300)</w:t>
            </w:r>
          </w:p>
          <w:p w:rsidR="00D35DC7" w:rsidRDefault="00982954">
            <w:pPr>
              <w:jc w:val="both"/>
              <w:rPr>
                <w:rFonts w:ascii="Arial" w:eastAsia="Arial" w:hAnsi="Arial" w:cs="Arial"/>
                <w:sz w:val="18"/>
                <w:szCs w:val="18"/>
              </w:rPr>
            </w:pPr>
            <w:bookmarkStart w:id="18" w:name="_heading=h.6zdx53rdpi58" w:colFirst="0" w:colLast="0"/>
            <w:bookmarkEnd w:id="18"/>
            <w:r>
              <w:rPr>
                <w:rFonts w:ascii="Arial" w:eastAsia="Arial" w:hAnsi="Arial" w:cs="Arial"/>
                <w:sz w:val="18"/>
                <w:szCs w:val="18"/>
              </w:rPr>
              <w:t>¡Bogotá se fortalece con un Gobierno abierto, cercano, eficiente, transparente e íntegro!</w:t>
            </w:r>
          </w:p>
          <w:p w:rsidR="00D35DC7" w:rsidRDefault="00982954">
            <w:pPr>
              <w:jc w:val="both"/>
              <w:rPr>
                <w:rFonts w:ascii="Arial" w:eastAsia="Arial" w:hAnsi="Arial" w:cs="Arial"/>
                <w:sz w:val="18"/>
                <w:szCs w:val="18"/>
              </w:rPr>
            </w:pPr>
            <w:bookmarkStart w:id="19" w:name="_heading=h.6s9xiqdh1yss" w:colFirst="0" w:colLast="0"/>
            <w:bookmarkEnd w:id="19"/>
            <w:r>
              <w:rPr>
                <w:rFonts w:ascii="Arial" w:eastAsia="Arial" w:hAnsi="Arial" w:cs="Arial"/>
                <w:sz w:val="18"/>
                <w:szCs w:val="18"/>
              </w:rPr>
              <w:t>¡Una ciudadanía que participa, incide y transforma!</w:t>
            </w:r>
          </w:p>
          <w:p w:rsidR="00D35DC7" w:rsidRDefault="00982954">
            <w:pPr>
              <w:jc w:val="both"/>
              <w:rPr>
                <w:rFonts w:ascii="Arial" w:eastAsia="Arial" w:hAnsi="Arial" w:cs="Arial"/>
                <w:sz w:val="18"/>
                <w:szCs w:val="18"/>
              </w:rPr>
            </w:pPr>
            <w:bookmarkStart w:id="20" w:name="_heading=h.918fdjkypzz" w:colFirst="0" w:colLast="0"/>
            <w:bookmarkEnd w:id="20"/>
            <w:r>
              <w:rPr>
                <w:rFonts w:ascii="Arial" w:eastAsia="Arial" w:hAnsi="Arial" w:cs="Arial"/>
                <w:sz w:val="18"/>
                <w:szCs w:val="18"/>
              </w:rPr>
              <w:t>¡Bogotá adopta medidas para mejorar la calidad y eficiencia del gasto público, y así aumentar la confianza de la ciudadanía en su Gobierno!</w:t>
            </w:r>
          </w:p>
        </w:tc>
        <w:tc>
          <w:tcPr>
            <w:tcW w:w="3000"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rsidR="00D35DC7" w:rsidRDefault="00982954">
            <w:pPr>
              <w:jc w:val="both"/>
              <w:rPr>
                <w:rFonts w:ascii="Arial" w:eastAsia="Arial" w:hAnsi="Arial" w:cs="Arial"/>
                <w:sz w:val="18"/>
                <w:szCs w:val="18"/>
              </w:rPr>
            </w:pPr>
            <w:r>
              <w:rPr>
                <w:rFonts w:ascii="Arial" w:eastAsia="Arial" w:hAnsi="Arial" w:cs="Arial"/>
                <w:sz w:val="18"/>
                <w:szCs w:val="18"/>
              </w:rPr>
              <w:t>Estrategias del objetivo 1, se encuentra en el artículo 7.</w:t>
            </w:r>
          </w:p>
          <w:p w:rsidR="00D35DC7" w:rsidRDefault="00982954">
            <w:pPr>
              <w:jc w:val="both"/>
              <w:rPr>
                <w:rFonts w:ascii="Arial" w:eastAsia="Arial" w:hAnsi="Arial" w:cs="Arial"/>
                <w:sz w:val="18"/>
                <w:szCs w:val="18"/>
              </w:rPr>
            </w:pPr>
            <w:r>
              <w:rPr>
                <w:rFonts w:ascii="Arial" w:eastAsia="Arial" w:hAnsi="Arial" w:cs="Arial"/>
                <w:sz w:val="18"/>
                <w:szCs w:val="18"/>
              </w:rPr>
              <w:t>Estrategias del objetivo 2, se encuentra en el artículo 9.</w:t>
            </w:r>
          </w:p>
          <w:p w:rsidR="00D35DC7" w:rsidRDefault="00982954">
            <w:pPr>
              <w:jc w:val="both"/>
              <w:rPr>
                <w:rFonts w:ascii="Arial" w:eastAsia="Arial" w:hAnsi="Arial" w:cs="Arial"/>
                <w:sz w:val="18"/>
                <w:szCs w:val="18"/>
              </w:rPr>
            </w:pPr>
            <w:r>
              <w:rPr>
                <w:rFonts w:ascii="Arial" w:eastAsia="Arial" w:hAnsi="Arial" w:cs="Arial"/>
                <w:sz w:val="18"/>
                <w:szCs w:val="18"/>
              </w:rPr>
              <w:t>Estrategias del objetivo 3, se encuentra en el artículo 11.</w:t>
            </w:r>
          </w:p>
          <w:p w:rsidR="00D35DC7" w:rsidRDefault="00982954">
            <w:pPr>
              <w:jc w:val="both"/>
              <w:rPr>
                <w:rFonts w:ascii="Arial" w:eastAsia="Arial" w:hAnsi="Arial" w:cs="Arial"/>
                <w:sz w:val="18"/>
                <w:szCs w:val="18"/>
              </w:rPr>
            </w:pPr>
            <w:r>
              <w:rPr>
                <w:rFonts w:ascii="Arial" w:eastAsia="Arial" w:hAnsi="Arial" w:cs="Arial"/>
                <w:sz w:val="18"/>
                <w:szCs w:val="18"/>
              </w:rPr>
              <w:t>Estrategias del objetivo 4, se encuentra en el artículo 13.</w:t>
            </w:r>
          </w:p>
          <w:p w:rsidR="00D35DC7" w:rsidRDefault="00982954">
            <w:pPr>
              <w:jc w:val="both"/>
              <w:rPr>
                <w:rFonts w:ascii="Arial" w:eastAsia="Arial" w:hAnsi="Arial" w:cs="Arial"/>
                <w:sz w:val="18"/>
                <w:szCs w:val="18"/>
              </w:rPr>
            </w:pPr>
            <w:r>
              <w:rPr>
                <w:rFonts w:ascii="Arial" w:eastAsia="Arial" w:hAnsi="Arial" w:cs="Arial"/>
                <w:sz w:val="18"/>
                <w:szCs w:val="18"/>
              </w:rPr>
              <w:t>Estrategias del objetivo 5, se encuentra en el artículo 15.</w:t>
            </w:r>
          </w:p>
          <w:p w:rsidR="00D35DC7" w:rsidRDefault="00982954">
            <w:pPr>
              <w:jc w:val="both"/>
              <w:rPr>
                <w:rFonts w:ascii="Arial" w:eastAsia="Arial" w:hAnsi="Arial" w:cs="Arial"/>
                <w:sz w:val="18"/>
                <w:szCs w:val="18"/>
              </w:rPr>
            </w:pPr>
            <w:r>
              <w:rPr>
                <w:rFonts w:ascii="Arial" w:eastAsia="Arial" w:hAnsi="Arial" w:cs="Arial"/>
                <w:sz w:val="18"/>
                <w:szCs w:val="18"/>
              </w:rPr>
              <w:t xml:space="preserve"> </w:t>
            </w:r>
          </w:p>
          <w:p w:rsidR="00D35DC7" w:rsidRDefault="00982954">
            <w:pPr>
              <w:rPr>
                <w:rFonts w:ascii="Arial" w:eastAsia="Arial" w:hAnsi="Arial" w:cs="Arial"/>
                <w:sz w:val="18"/>
                <w:szCs w:val="18"/>
              </w:rPr>
            </w:pPr>
            <w:r>
              <w:rPr>
                <w:rFonts w:ascii="Arial" w:eastAsia="Arial" w:hAnsi="Arial" w:cs="Arial"/>
                <w:sz w:val="18"/>
                <w:szCs w:val="18"/>
              </w:rPr>
              <w:t xml:space="preserve"> </w:t>
            </w:r>
          </w:p>
        </w:tc>
      </w:tr>
      <w:tr w:rsidR="00D35DC7">
        <w:tc>
          <w:tcPr>
            <w:tcW w:w="2580" w:type="dxa"/>
            <w:tcBorders>
              <w:right w:val="single" w:sz="8" w:space="0" w:color="000000"/>
            </w:tcBorders>
          </w:tcPr>
          <w:p w:rsidR="00D35DC7" w:rsidRDefault="00982954">
            <w:pPr>
              <w:jc w:val="both"/>
              <w:rPr>
                <w:rFonts w:ascii="Arial" w:eastAsia="Arial" w:hAnsi="Arial" w:cs="Arial"/>
                <w:b/>
                <w:sz w:val="18"/>
                <w:szCs w:val="18"/>
              </w:rPr>
            </w:pPr>
            <w:r>
              <w:rPr>
                <w:rFonts w:ascii="Arial" w:eastAsia="Arial" w:hAnsi="Arial" w:cs="Arial"/>
                <w:sz w:val="18"/>
                <w:szCs w:val="18"/>
              </w:rPr>
              <w:t xml:space="preserve">Los programas para desarrollar las estrategias y las políticas adoptadas. En la definición de los programas y proyectos del Plan Distrital de Desarrollo se deberá tener en cuenta las definiciones de los </w:t>
            </w:r>
            <w:r>
              <w:rPr>
                <w:rFonts w:ascii="Arial" w:eastAsia="Arial" w:hAnsi="Arial" w:cs="Arial"/>
                <w:b/>
                <w:sz w:val="18"/>
                <w:szCs w:val="18"/>
              </w:rPr>
              <w:t>planes de acción de las políticas públicas</w:t>
            </w:r>
            <w:r>
              <w:rPr>
                <w:rFonts w:ascii="Arial" w:eastAsia="Arial" w:hAnsi="Arial" w:cs="Arial"/>
                <w:sz w:val="18"/>
                <w:szCs w:val="18"/>
              </w:rPr>
              <w:t xml:space="preserve">, el </w:t>
            </w:r>
            <w:r>
              <w:rPr>
                <w:rFonts w:ascii="Arial" w:eastAsia="Arial" w:hAnsi="Arial" w:cs="Arial"/>
                <w:b/>
                <w:sz w:val="18"/>
                <w:szCs w:val="18"/>
              </w:rPr>
              <w:t>modelo de ocupación del territorio</w:t>
            </w:r>
            <w:r>
              <w:rPr>
                <w:rFonts w:ascii="Arial" w:eastAsia="Arial" w:hAnsi="Arial" w:cs="Arial"/>
                <w:sz w:val="18"/>
                <w:szCs w:val="18"/>
              </w:rPr>
              <w:t xml:space="preserve">, los </w:t>
            </w:r>
            <w:r>
              <w:rPr>
                <w:rFonts w:ascii="Arial" w:eastAsia="Arial" w:hAnsi="Arial" w:cs="Arial"/>
                <w:b/>
                <w:sz w:val="18"/>
                <w:szCs w:val="18"/>
              </w:rPr>
              <w:t>programas y proyectos definidos en el programa de ejecución de obras en el corto, mediano y largo plazo del Plan de Ordenamiento Territorial.</w:t>
            </w:r>
          </w:p>
          <w:p w:rsidR="00D35DC7" w:rsidRDefault="00D35DC7">
            <w:pPr>
              <w:jc w:val="both"/>
              <w:rPr>
                <w:rFonts w:ascii="Arial" w:eastAsia="Arial" w:hAnsi="Arial" w:cs="Arial"/>
                <w:b/>
                <w:sz w:val="18"/>
                <w:szCs w:val="18"/>
              </w:rPr>
            </w:pPr>
          </w:p>
        </w:tc>
        <w:tc>
          <w:tcPr>
            <w:tcW w:w="3405"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rsidR="00D35DC7" w:rsidRDefault="00982954">
            <w:pPr>
              <w:jc w:val="both"/>
              <w:rPr>
                <w:rFonts w:ascii="Arial" w:eastAsia="Arial" w:hAnsi="Arial" w:cs="Arial"/>
                <w:b/>
                <w:sz w:val="18"/>
                <w:szCs w:val="18"/>
              </w:rPr>
            </w:pPr>
            <w:r>
              <w:rPr>
                <w:rFonts w:ascii="Arial" w:eastAsia="Arial" w:hAnsi="Arial" w:cs="Arial"/>
                <w:b/>
                <w:sz w:val="18"/>
                <w:szCs w:val="18"/>
              </w:rPr>
              <w:t>Programas del Objetivo 1. “Bogotá avanza en seguridad”</w:t>
            </w:r>
            <w:r>
              <w:rPr>
                <w:rFonts w:ascii="Arial" w:eastAsia="Arial" w:hAnsi="Arial" w:cs="Arial"/>
                <w:sz w:val="18"/>
                <w:szCs w:val="18"/>
              </w:rPr>
              <w:t>.</w:t>
            </w:r>
          </w:p>
          <w:p w:rsidR="00D35DC7" w:rsidRDefault="00982954">
            <w:pPr>
              <w:jc w:val="both"/>
              <w:rPr>
                <w:rFonts w:ascii="Arial" w:eastAsia="Arial" w:hAnsi="Arial" w:cs="Arial"/>
                <w:sz w:val="18"/>
                <w:szCs w:val="18"/>
              </w:rPr>
            </w:pPr>
            <w:bookmarkStart w:id="21" w:name="_heading=h.60yaj6iugpb9" w:colFirst="0" w:colLast="0"/>
            <w:bookmarkEnd w:id="21"/>
            <w:r>
              <w:rPr>
                <w:rFonts w:ascii="Arial" w:eastAsia="Arial" w:hAnsi="Arial" w:cs="Arial"/>
                <w:sz w:val="18"/>
                <w:szCs w:val="18"/>
              </w:rPr>
              <w:t>Diálogo social y cultura ciudadana para la convivencia pacífica y la recuperación de la confianza (página 80)</w:t>
            </w:r>
          </w:p>
          <w:p w:rsidR="00D35DC7" w:rsidRDefault="00982954">
            <w:pPr>
              <w:jc w:val="both"/>
              <w:rPr>
                <w:rFonts w:ascii="Arial" w:eastAsia="Arial" w:hAnsi="Arial" w:cs="Arial"/>
                <w:sz w:val="18"/>
                <w:szCs w:val="18"/>
              </w:rPr>
            </w:pPr>
            <w:bookmarkStart w:id="22" w:name="_heading=h.fsdg62xtiilf" w:colFirst="0" w:colLast="0"/>
            <w:bookmarkEnd w:id="22"/>
            <w:r>
              <w:rPr>
                <w:rFonts w:ascii="Arial" w:eastAsia="Arial" w:hAnsi="Arial" w:cs="Arial"/>
                <w:sz w:val="18"/>
                <w:szCs w:val="18"/>
              </w:rPr>
              <w:t>Cero tolerancia a las violencias contra las mujeres y basadas en género (página 86)</w:t>
            </w:r>
          </w:p>
          <w:p w:rsidR="00D35DC7" w:rsidRDefault="00982954">
            <w:pPr>
              <w:jc w:val="both"/>
              <w:rPr>
                <w:rFonts w:ascii="Arial" w:eastAsia="Arial" w:hAnsi="Arial" w:cs="Arial"/>
                <w:sz w:val="18"/>
                <w:szCs w:val="18"/>
              </w:rPr>
            </w:pPr>
            <w:bookmarkStart w:id="23" w:name="_heading=h.ewn48e5yewb8" w:colFirst="0" w:colLast="0"/>
            <w:bookmarkEnd w:id="23"/>
            <w:r>
              <w:rPr>
                <w:rFonts w:ascii="Arial" w:eastAsia="Arial" w:hAnsi="Arial" w:cs="Arial"/>
                <w:sz w:val="18"/>
                <w:szCs w:val="18"/>
              </w:rPr>
              <w:t>Desmantelamiento de estructuras criminales y delincuenciales con mejores capacidades y activos tecnológicos (página 91)</w:t>
            </w:r>
          </w:p>
          <w:p w:rsidR="00D35DC7" w:rsidRDefault="00982954">
            <w:pPr>
              <w:jc w:val="both"/>
              <w:rPr>
                <w:rFonts w:ascii="Arial" w:eastAsia="Arial" w:hAnsi="Arial" w:cs="Arial"/>
                <w:sz w:val="18"/>
                <w:szCs w:val="18"/>
              </w:rPr>
            </w:pPr>
            <w:bookmarkStart w:id="24" w:name="_heading=h.52v6oyxtbjj" w:colFirst="0" w:colLast="0"/>
            <w:bookmarkEnd w:id="24"/>
            <w:r>
              <w:rPr>
                <w:rFonts w:ascii="Arial" w:eastAsia="Arial" w:hAnsi="Arial" w:cs="Arial"/>
                <w:sz w:val="18"/>
                <w:szCs w:val="18"/>
              </w:rPr>
              <w:t>Servicios centrados en la justicia (página 96)</w:t>
            </w:r>
          </w:p>
          <w:p w:rsidR="00D35DC7" w:rsidRDefault="00982954">
            <w:pPr>
              <w:jc w:val="both"/>
              <w:rPr>
                <w:rFonts w:ascii="Arial" w:eastAsia="Arial" w:hAnsi="Arial" w:cs="Arial"/>
                <w:sz w:val="18"/>
                <w:szCs w:val="18"/>
              </w:rPr>
            </w:pPr>
            <w:bookmarkStart w:id="25" w:name="_heading=h.wpqxamd2d2xg" w:colFirst="0" w:colLast="0"/>
            <w:bookmarkEnd w:id="25"/>
            <w:r>
              <w:rPr>
                <w:rFonts w:ascii="Arial" w:eastAsia="Arial" w:hAnsi="Arial" w:cs="Arial"/>
                <w:sz w:val="18"/>
                <w:szCs w:val="18"/>
              </w:rPr>
              <w:t>Espacio público seguro e inclusivo (página 103)</w:t>
            </w:r>
          </w:p>
          <w:p w:rsidR="00D35DC7" w:rsidRDefault="00982954">
            <w:pPr>
              <w:jc w:val="both"/>
              <w:rPr>
                <w:rFonts w:ascii="Arial" w:eastAsia="Arial" w:hAnsi="Arial" w:cs="Arial"/>
                <w:sz w:val="18"/>
                <w:szCs w:val="18"/>
              </w:rPr>
            </w:pPr>
            <w:bookmarkStart w:id="26" w:name="_heading=h.1y63jwn441um" w:colFirst="0" w:colLast="0"/>
            <w:bookmarkEnd w:id="26"/>
            <w:r>
              <w:rPr>
                <w:rFonts w:ascii="Arial" w:eastAsia="Arial" w:hAnsi="Arial" w:cs="Arial"/>
                <w:sz w:val="18"/>
                <w:szCs w:val="18"/>
              </w:rPr>
              <w:t>Movilidad segura e inclusiva (página 111).</w:t>
            </w:r>
          </w:p>
          <w:p w:rsidR="00D35DC7" w:rsidRDefault="00D35DC7">
            <w:pPr>
              <w:jc w:val="both"/>
              <w:rPr>
                <w:rFonts w:ascii="Arial" w:eastAsia="Arial" w:hAnsi="Arial" w:cs="Arial"/>
                <w:sz w:val="18"/>
                <w:szCs w:val="18"/>
              </w:rPr>
            </w:pPr>
            <w:bookmarkStart w:id="27" w:name="_heading=h.hwd6snqi9yfn" w:colFirst="0" w:colLast="0"/>
            <w:bookmarkEnd w:id="27"/>
          </w:p>
          <w:p w:rsidR="00D35DC7" w:rsidRDefault="00982954">
            <w:pPr>
              <w:jc w:val="both"/>
              <w:rPr>
                <w:rFonts w:ascii="Arial" w:eastAsia="Arial" w:hAnsi="Arial" w:cs="Arial"/>
                <w:b/>
                <w:sz w:val="18"/>
                <w:szCs w:val="18"/>
              </w:rPr>
            </w:pPr>
            <w:r>
              <w:rPr>
                <w:rFonts w:ascii="Arial" w:eastAsia="Arial" w:hAnsi="Arial" w:cs="Arial"/>
                <w:b/>
                <w:sz w:val="18"/>
                <w:szCs w:val="18"/>
              </w:rPr>
              <w:t xml:space="preserve">Programas Objetivo 2. “Bogotá confía en su Bien-Estar”. </w:t>
            </w:r>
          </w:p>
          <w:p w:rsidR="00D35DC7" w:rsidRDefault="00982954">
            <w:pPr>
              <w:jc w:val="both"/>
              <w:rPr>
                <w:rFonts w:ascii="Arial" w:eastAsia="Arial" w:hAnsi="Arial" w:cs="Arial"/>
                <w:sz w:val="18"/>
                <w:szCs w:val="18"/>
              </w:rPr>
            </w:pPr>
            <w:bookmarkStart w:id="28" w:name="_heading=h.to5tbjqryqww" w:colFirst="0" w:colLast="0"/>
            <w:bookmarkEnd w:id="28"/>
            <w:r>
              <w:rPr>
                <w:rFonts w:ascii="Arial" w:eastAsia="Arial" w:hAnsi="Arial" w:cs="Arial"/>
                <w:sz w:val="18"/>
                <w:szCs w:val="18"/>
              </w:rPr>
              <w:t>Bogotá, una ciudad con menos pobreza (página 125)</w:t>
            </w:r>
          </w:p>
          <w:p w:rsidR="00D35DC7" w:rsidRDefault="00982954">
            <w:pPr>
              <w:jc w:val="both"/>
              <w:rPr>
                <w:rFonts w:ascii="Arial" w:eastAsia="Arial" w:hAnsi="Arial" w:cs="Arial"/>
                <w:sz w:val="18"/>
                <w:szCs w:val="18"/>
              </w:rPr>
            </w:pPr>
            <w:bookmarkStart w:id="29" w:name="_heading=h.uskykuh1w6rz" w:colFirst="0" w:colLast="0"/>
            <w:bookmarkEnd w:id="29"/>
            <w:r>
              <w:rPr>
                <w:rFonts w:ascii="Arial" w:eastAsia="Arial" w:hAnsi="Arial" w:cs="Arial"/>
                <w:sz w:val="18"/>
                <w:szCs w:val="18"/>
              </w:rPr>
              <w:t>Erradicación del hambre en Bogotá (página 130)</w:t>
            </w:r>
          </w:p>
          <w:p w:rsidR="00D35DC7" w:rsidRDefault="00982954">
            <w:pPr>
              <w:jc w:val="both"/>
              <w:rPr>
                <w:rFonts w:ascii="Arial" w:eastAsia="Arial" w:hAnsi="Arial" w:cs="Arial"/>
                <w:sz w:val="18"/>
                <w:szCs w:val="18"/>
              </w:rPr>
            </w:pPr>
            <w:bookmarkStart w:id="30" w:name="_heading=h.ykq5366i5az" w:colFirst="0" w:colLast="0"/>
            <w:bookmarkEnd w:id="30"/>
            <w:r>
              <w:rPr>
                <w:rFonts w:ascii="Arial" w:eastAsia="Arial" w:hAnsi="Arial" w:cs="Arial"/>
                <w:sz w:val="18"/>
                <w:szCs w:val="18"/>
              </w:rPr>
              <w:t>Reducción de formas extremas de exclusión (página 135)</w:t>
            </w:r>
          </w:p>
          <w:p w:rsidR="00D35DC7" w:rsidRDefault="00982954">
            <w:pPr>
              <w:jc w:val="both"/>
              <w:rPr>
                <w:rFonts w:ascii="Arial" w:eastAsia="Arial" w:hAnsi="Arial" w:cs="Arial"/>
                <w:sz w:val="18"/>
                <w:szCs w:val="18"/>
              </w:rPr>
            </w:pPr>
            <w:bookmarkStart w:id="31" w:name="_heading=h.qsfbi6po9b0" w:colFirst="0" w:colLast="0"/>
            <w:bookmarkEnd w:id="31"/>
            <w:r>
              <w:rPr>
                <w:rFonts w:ascii="Arial" w:eastAsia="Arial" w:hAnsi="Arial" w:cs="Arial"/>
                <w:sz w:val="18"/>
                <w:szCs w:val="18"/>
              </w:rPr>
              <w:t>Salud pública integrada e integral (página 139)</w:t>
            </w:r>
          </w:p>
          <w:p w:rsidR="00D35DC7" w:rsidRDefault="00982954">
            <w:pPr>
              <w:jc w:val="both"/>
              <w:rPr>
                <w:rFonts w:ascii="Arial" w:eastAsia="Arial" w:hAnsi="Arial" w:cs="Arial"/>
                <w:sz w:val="18"/>
                <w:szCs w:val="18"/>
              </w:rPr>
            </w:pPr>
            <w:bookmarkStart w:id="32" w:name="_heading=h.ueaaxkhjybui" w:colFirst="0" w:colLast="0"/>
            <w:bookmarkEnd w:id="32"/>
            <w:r>
              <w:rPr>
                <w:rFonts w:ascii="Arial" w:eastAsia="Arial" w:hAnsi="Arial" w:cs="Arial"/>
                <w:sz w:val="18"/>
                <w:szCs w:val="18"/>
              </w:rPr>
              <w:t>Salud con calidad y en el territorio (página 145)</w:t>
            </w:r>
          </w:p>
          <w:p w:rsidR="00D35DC7" w:rsidRDefault="00982954">
            <w:pPr>
              <w:jc w:val="both"/>
              <w:rPr>
                <w:rFonts w:ascii="Arial" w:eastAsia="Arial" w:hAnsi="Arial" w:cs="Arial"/>
                <w:sz w:val="18"/>
                <w:szCs w:val="18"/>
              </w:rPr>
            </w:pPr>
            <w:bookmarkStart w:id="33" w:name="_heading=h.edagatyc1zqs" w:colFirst="0" w:colLast="0"/>
            <w:bookmarkEnd w:id="33"/>
            <w:r>
              <w:rPr>
                <w:rFonts w:ascii="Arial" w:eastAsia="Arial" w:hAnsi="Arial" w:cs="Arial"/>
                <w:sz w:val="18"/>
                <w:szCs w:val="18"/>
              </w:rPr>
              <w:t>Bogotá cuida a su gente (página 149)</w:t>
            </w:r>
          </w:p>
          <w:p w:rsidR="00D35DC7" w:rsidRDefault="00982954">
            <w:pPr>
              <w:jc w:val="both"/>
              <w:rPr>
                <w:rFonts w:ascii="Arial" w:eastAsia="Arial" w:hAnsi="Arial" w:cs="Arial"/>
                <w:sz w:val="18"/>
                <w:szCs w:val="18"/>
              </w:rPr>
            </w:pPr>
            <w:bookmarkStart w:id="34" w:name="_heading=h.4lsghiaqw9q9" w:colFirst="0" w:colLast="0"/>
            <w:bookmarkEnd w:id="34"/>
            <w:r>
              <w:rPr>
                <w:rFonts w:ascii="Arial" w:eastAsia="Arial" w:hAnsi="Arial" w:cs="Arial"/>
                <w:sz w:val="18"/>
                <w:szCs w:val="18"/>
              </w:rPr>
              <w:t>Bogotá, un territorio de paz y reconciliación donde todos puedan volver a empezar (página 156)</w:t>
            </w:r>
          </w:p>
          <w:p w:rsidR="00D35DC7" w:rsidRDefault="00982954">
            <w:pPr>
              <w:jc w:val="both"/>
              <w:rPr>
                <w:rFonts w:ascii="Arial" w:eastAsia="Arial" w:hAnsi="Arial" w:cs="Arial"/>
                <w:sz w:val="18"/>
                <w:szCs w:val="18"/>
              </w:rPr>
            </w:pPr>
            <w:bookmarkStart w:id="35" w:name="_heading=h.kvb9kts9nwln" w:colFirst="0" w:colLast="0"/>
            <w:bookmarkEnd w:id="35"/>
            <w:r>
              <w:rPr>
                <w:rFonts w:ascii="Arial" w:eastAsia="Arial" w:hAnsi="Arial" w:cs="Arial"/>
                <w:sz w:val="18"/>
                <w:szCs w:val="18"/>
              </w:rPr>
              <w:t>Bogotá deportiva, recreativa, artística, patrimonial e intercultural (página 163)</w:t>
            </w:r>
          </w:p>
          <w:p w:rsidR="00D35DC7" w:rsidRDefault="00982954">
            <w:pPr>
              <w:jc w:val="both"/>
              <w:rPr>
                <w:rFonts w:ascii="Arial" w:eastAsia="Arial" w:hAnsi="Arial" w:cs="Arial"/>
                <w:sz w:val="18"/>
                <w:szCs w:val="18"/>
              </w:rPr>
            </w:pPr>
            <w:bookmarkStart w:id="36" w:name="_heading=h.vswxa7o9lhln" w:colFirst="0" w:colLast="0"/>
            <w:bookmarkEnd w:id="36"/>
            <w:r>
              <w:rPr>
                <w:rFonts w:ascii="Arial" w:eastAsia="Arial" w:hAnsi="Arial" w:cs="Arial"/>
                <w:sz w:val="18"/>
                <w:szCs w:val="18"/>
              </w:rPr>
              <w:t>Bogotá protege todas las formas de vida (página 172)</w:t>
            </w:r>
          </w:p>
          <w:p w:rsidR="00D35DC7" w:rsidRDefault="00D35DC7">
            <w:pPr>
              <w:jc w:val="both"/>
              <w:rPr>
                <w:rFonts w:ascii="Arial" w:eastAsia="Arial" w:hAnsi="Arial" w:cs="Arial"/>
                <w:b/>
                <w:sz w:val="18"/>
                <w:szCs w:val="18"/>
              </w:rPr>
            </w:pPr>
            <w:bookmarkStart w:id="37" w:name="_heading=h.a9aamvm52su3" w:colFirst="0" w:colLast="0"/>
            <w:bookmarkEnd w:id="37"/>
          </w:p>
          <w:p w:rsidR="00D35DC7" w:rsidRDefault="00982954">
            <w:pPr>
              <w:jc w:val="both"/>
              <w:rPr>
                <w:rFonts w:ascii="Arial" w:eastAsia="Arial" w:hAnsi="Arial" w:cs="Arial"/>
                <w:b/>
                <w:sz w:val="18"/>
                <w:szCs w:val="18"/>
              </w:rPr>
            </w:pPr>
            <w:r>
              <w:rPr>
                <w:rFonts w:ascii="Arial" w:eastAsia="Arial" w:hAnsi="Arial" w:cs="Arial"/>
                <w:b/>
                <w:sz w:val="18"/>
                <w:szCs w:val="18"/>
              </w:rPr>
              <w:t>Programas Objetivo 3 “Bogotá confía en su potencial”</w:t>
            </w:r>
          </w:p>
          <w:p w:rsidR="00D35DC7" w:rsidRDefault="00982954">
            <w:pPr>
              <w:jc w:val="both"/>
              <w:rPr>
                <w:rFonts w:ascii="Arial" w:eastAsia="Arial" w:hAnsi="Arial" w:cs="Arial"/>
                <w:sz w:val="18"/>
                <w:szCs w:val="18"/>
              </w:rPr>
            </w:pPr>
            <w:bookmarkStart w:id="38" w:name="_heading=h.5ayayl90e1bu" w:colFirst="0" w:colLast="0"/>
            <w:bookmarkEnd w:id="38"/>
            <w:r>
              <w:rPr>
                <w:rFonts w:ascii="Arial" w:eastAsia="Arial" w:hAnsi="Arial" w:cs="Arial"/>
                <w:sz w:val="18"/>
                <w:szCs w:val="18"/>
              </w:rPr>
              <w:t>La educación como eje del potencial humano (página 180)</w:t>
            </w:r>
          </w:p>
          <w:p w:rsidR="00D35DC7" w:rsidRDefault="00982954">
            <w:pPr>
              <w:jc w:val="both"/>
              <w:rPr>
                <w:rFonts w:ascii="Arial" w:eastAsia="Arial" w:hAnsi="Arial" w:cs="Arial"/>
                <w:sz w:val="18"/>
                <w:szCs w:val="18"/>
              </w:rPr>
            </w:pPr>
            <w:bookmarkStart w:id="39" w:name="_heading=h.ume73xkdf9be" w:colFirst="0" w:colLast="0"/>
            <w:bookmarkEnd w:id="39"/>
            <w:r>
              <w:rPr>
                <w:rFonts w:ascii="Arial" w:eastAsia="Arial" w:hAnsi="Arial" w:cs="Arial"/>
                <w:sz w:val="18"/>
                <w:szCs w:val="18"/>
              </w:rPr>
              <w:t>Formación para el trabajo y acceso a oportunidades educativas (página 189)</w:t>
            </w:r>
          </w:p>
          <w:p w:rsidR="00D35DC7" w:rsidRDefault="00982954">
            <w:pPr>
              <w:jc w:val="both"/>
              <w:rPr>
                <w:rFonts w:ascii="Arial" w:eastAsia="Arial" w:hAnsi="Arial" w:cs="Arial"/>
                <w:sz w:val="18"/>
                <w:szCs w:val="18"/>
              </w:rPr>
            </w:pPr>
            <w:bookmarkStart w:id="40" w:name="_heading=h.xilpx4bfzpat" w:colFirst="0" w:colLast="0"/>
            <w:bookmarkEnd w:id="40"/>
            <w:r>
              <w:rPr>
                <w:rFonts w:ascii="Arial" w:eastAsia="Arial" w:hAnsi="Arial" w:cs="Arial"/>
                <w:sz w:val="18"/>
                <w:szCs w:val="18"/>
              </w:rPr>
              <w:t>Ciencia, Tecnología e Innovación (CTel) para desarrollar nuestro potencial y promover el de nuestros vecinos regionales (página 193)</w:t>
            </w:r>
          </w:p>
          <w:p w:rsidR="00D35DC7" w:rsidRDefault="00982954">
            <w:pPr>
              <w:jc w:val="both"/>
              <w:rPr>
                <w:rFonts w:ascii="Arial" w:eastAsia="Arial" w:hAnsi="Arial" w:cs="Arial"/>
                <w:sz w:val="18"/>
                <w:szCs w:val="18"/>
              </w:rPr>
            </w:pPr>
            <w:bookmarkStart w:id="41" w:name="_heading=h.id7co04oz76a" w:colFirst="0" w:colLast="0"/>
            <w:bookmarkEnd w:id="41"/>
            <w:r>
              <w:rPr>
                <w:rFonts w:ascii="Arial" w:eastAsia="Arial" w:hAnsi="Arial" w:cs="Arial"/>
                <w:sz w:val="18"/>
                <w:szCs w:val="18"/>
              </w:rPr>
              <w:t>Desarrollo empresarial, productividad y empleo (página 199)</w:t>
            </w:r>
          </w:p>
          <w:p w:rsidR="00D35DC7" w:rsidRDefault="00982954">
            <w:pPr>
              <w:jc w:val="both"/>
              <w:rPr>
                <w:rFonts w:ascii="Arial" w:eastAsia="Arial" w:hAnsi="Arial" w:cs="Arial"/>
                <w:sz w:val="18"/>
                <w:szCs w:val="18"/>
              </w:rPr>
            </w:pPr>
            <w:bookmarkStart w:id="42" w:name="_heading=h.1lbaztteq9ek" w:colFirst="0" w:colLast="0"/>
            <w:bookmarkEnd w:id="42"/>
            <w:r>
              <w:rPr>
                <w:rFonts w:ascii="Arial" w:eastAsia="Arial" w:hAnsi="Arial" w:cs="Arial"/>
                <w:sz w:val="18"/>
                <w:szCs w:val="18"/>
              </w:rPr>
              <w:t>Promoción del emprendimiento formal, equitativo e incluyente (página 206)</w:t>
            </w:r>
          </w:p>
          <w:p w:rsidR="00D35DC7" w:rsidRDefault="00982954">
            <w:pPr>
              <w:jc w:val="both"/>
              <w:rPr>
                <w:rFonts w:ascii="Arial" w:eastAsia="Arial" w:hAnsi="Arial" w:cs="Arial"/>
                <w:sz w:val="18"/>
                <w:szCs w:val="18"/>
              </w:rPr>
            </w:pPr>
            <w:bookmarkStart w:id="43" w:name="_heading=h.mmd5toqwtpw7" w:colFirst="0" w:colLast="0"/>
            <w:bookmarkEnd w:id="43"/>
            <w:r>
              <w:rPr>
                <w:rFonts w:ascii="Arial" w:eastAsia="Arial" w:hAnsi="Arial" w:cs="Arial"/>
                <w:sz w:val="18"/>
                <w:szCs w:val="18"/>
              </w:rPr>
              <w:t>Bogotá ciudad portuaria (página 213)</w:t>
            </w:r>
          </w:p>
          <w:p w:rsidR="00D35DC7" w:rsidRDefault="00982954">
            <w:pPr>
              <w:jc w:val="both"/>
              <w:rPr>
                <w:rFonts w:ascii="Arial" w:eastAsia="Arial" w:hAnsi="Arial" w:cs="Arial"/>
                <w:sz w:val="18"/>
                <w:szCs w:val="18"/>
              </w:rPr>
            </w:pPr>
            <w:bookmarkStart w:id="44" w:name="_heading=h.cdjkl8ksldkb" w:colFirst="0" w:colLast="0"/>
            <w:bookmarkEnd w:id="44"/>
            <w:r>
              <w:rPr>
                <w:rFonts w:ascii="Arial" w:eastAsia="Arial" w:hAnsi="Arial" w:cs="Arial"/>
                <w:sz w:val="18"/>
                <w:szCs w:val="18"/>
              </w:rPr>
              <w:t>Bogotá, una ciudad de puertas abiertas al mundo (página 218)</w:t>
            </w:r>
          </w:p>
          <w:p w:rsidR="00D35DC7" w:rsidRDefault="00D35DC7">
            <w:pPr>
              <w:jc w:val="both"/>
              <w:rPr>
                <w:rFonts w:ascii="Arial" w:eastAsia="Arial" w:hAnsi="Arial" w:cs="Arial"/>
                <w:b/>
                <w:sz w:val="18"/>
                <w:szCs w:val="18"/>
              </w:rPr>
            </w:pPr>
            <w:bookmarkStart w:id="45" w:name="_heading=h.f4591n8nhzi6" w:colFirst="0" w:colLast="0"/>
            <w:bookmarkEnd w:id="45"/>
          </w:p>
          <w:p w:rsidR="00D35DC7" w:rsidRDefault="00D35DC7">
            <w:pPr>
              <w:jc w:val="both"/>
              <w:rPr>
                <w:rFonts w:ascii="Arial" w:eastAsia="Arial" w:hAnsi="Arial" w:cs="Arial"/>
                <w:b/>
                <w:sz w:val="18"/>
                <w:szCs w:val="18"/>
              </w:rPr>
            </w:pPr>
            <w:bookmarkStart w:id="46" w:name="_heading=h.m3gc91mqbcz6" w:colFirst="0" w:colLast="0"/>
            <w:bookmarkEnd w:id="46"/>
          </w:p>
          <w:p w:rsidR="00D35DC7" w:rsidRDefault="00982954">
            <w:pPr>
              <w:jc w:val="both"/>
              <w:rPr>
                <w:rFonts w:ascii="Arial" w:eastAsia="Arial" w:hAnsi="Arial" w:cs="Arial"/>
                <w:b/>
                <w:sz w:val="18"/>
                <w:szCs w:val="18"/>
              </w:rPr>
            </w:pPr>
            <w:r>
              <w:rPr>
                <w:rFonts w:ascii="Arial" w:eastAsia="Arial" w:hAnsi="Arial" w:cs="Arial"/>
                <w:b/>
                <w:sz w:val="18"/>
                <w:szCs w:val="18"/>
              </w:rPr>
              <w:t>Programas del Objetivo 4: Bogotá ordena su territorio y avanza en su acción climática”.</w:t>
            </w:r>
          </w:p>
          <w:p w:rsidR="00D35DC7" w:rsidRDefault="00982954">
            <w:pPr>
              <w:jc w:val="both"/>
              <w:rPr>
                <w:rFonts w:ascii="Arial" w:eastAsia="Arial" w:hAnsi="Arial" w:cs="Arial"/>
                <w:sz w:val="18"/>
                <w:szCs w:val="18"/>
              </w:rPr>
            </w:pPr>
            <w:bookmarkStart w:id="47" w:name="_heading=h.m7yghhlwa0lg" w:colFirst="0" w:colLast="0"/>
            <w:bookmarkEnd w:id="47"/>
            <w:r>
              <w:rPr>
                <w:rFonts w:ascii="Arial" w:eastAsia="Arial" w:hAnsi="Arial" w:cs="Arial"/>
                <w:sz w:val="18"/>
                <w:szCs w:val="18"/>
              </w:rPr>
              <w:t>Ordenamiento territorial sostenible, equilibrado y participativo (página 230)</w:t>
            </w:r>
          </w:p>
          <w:p w:rsidR="00D35DC7" w:rsidRDefault="00982954">
            <w:pPr>
              <w:jc w:val="both"/>
              <w:rPr>
                <w:rFonts w:ascii="Arial" w:eastAsia="Arial" w:hAnsi="Arial" w:cs="Arial"/>
                <w:sz w:val="18"/>
                <w:szCs w:val="18"/>
              </w:rPr>
            </w:pPr>
            <w:bookmarkStart w:id="48" w:name="_heading=h.sqzzud82p2is" w:colFirst="0" w:colLast="0"/>
            <w:bookmarkEnd w:id="48"/>
            <w:r>
              <w:rPr>
                <w:rFonts w:ascii="Arial" w:eastAsia="Arial" w:hAnsi="Arial" w:cs="Arial"/>
                <w:sz w:val="18"/>
                <w:szCs w:val="18"/>
              </w:rPr>
              <w:t>Revitalización y renovación urbana y rural con inclusión (págin 236)</w:t>
            </w:r>
          </w:p>
          <w:p w:rsidR="00D35DC7" w:rsidRDefault="00982954">
            <w:pPr>
              <w:jc w:val="both"/>
              <w:rPr>
                <w:rFonts w:ascii="Arial" w:eastAsia="Arial" w:hAnsi="Arial" w:cs="Arial"/>
                <w:sz w:val="18"/>
                <w:szCs w:val="18"/>
              </w:rPr>
            </w:pPr>
            <w:bookmarkStart w:id="49" w:name="_heading=h.hujhyq6afhfe" w:colFirst="0" w:colLast="0"/>
            <w:bookmarkEnd w:id="49"/>
            <w:r>
              <w:rPr>
                <w:rFonts w:ascii="Arial" w:eastAsia="Arial" w:hAnsi="Arial" w:cs="Arial"/>
                <w:sz w:val="18"/>
                <w:szCs w:val="18"/>
              </w:rPr>
              <w:t>Aumento de la resiliencia al cambio climático y reducción de la vulnerabilidad (página 242)</w:t>
            </w:r>
          </w:p>
          <w:p w:rsidR="00D35DC7" w:rsidRDefault="00982954">
            <w:pPr>
              <w:jc w:val="both"/>
              <w:rPr>
                <w:rFonts w:ascii="Arial" w:eastAsia="Arial" w:hAnsi="Arial" w:cs="Arial"/>
                <w:sz w:val="18"/>
                <w:szCs w:val="18"/>
              </w:rPr>
            </w:pPr>
            <w:bookmarkStart w:id="50" w:name="_heading=h.aknfhix1082p" w:colFirst="0" w:colLast="0"/>
            <w:bookmarkEnd w:id="50"/>
            <w:r>
              <w:rPr>
                <w:rFonts w:ascii="Arial" w:eastAsia="Arial" w:hAnsi="Arial" w:cs="Arial"/>
                <w:sz w:val="18"/>
                <w:szCs w:val="18"/>
              </w:rPr>
              <w:t>Movilidad sostenible (página 250)</w:t>
            </w:r>
          </w:p>
          <w:p w:rsidR="00D35DC7" w:rsidRDefault="00982954">
            <w:pPr>
              <w:jc w:val="both"/>
              <w:rPr>
                <w:rFonts w:ascii="Arial" w:eastAsia="Arial" w:hAnsi="Arial" w:cs="Arial"/>
                <w:sz w:val="18"/>
                <w:szCs w:val="18"/>
              </w:rPr>
            </w:pPr>
            <w:bookmarkStart w:id="51" w:name="_heading=h.fxihw73lr8iy" w:colFirst="0" w:colLast="0"/>
            <w:bookmarkEnd w:id="51"/>
            <w:r>
              <w:rPr>
                <w:rFonts w:ascii="Arial" w:eastAsia="Arial" w:hAnsi="Arial" w:cs="Arial"/>
                <w:sz w:val="18"/>
                <w:szCs w:val="18"/>
              </w:rPr>
              <w:t>Gestión del riesgo de desastres para un territorio seguro (página 259)</w:t>
            </w:r>
          </w:p>
          <w:p w:rsidR="00D35DC7" w:rsidRDefault="00982954">
            <w:pPr>
              <w:jc w:val="both"/>
              <w:rPr>
                <w:rFonts w:ascii="Arial" w:eastAsia="Arial" w:hAnsi="Arial" w:cs="Arial"/>
                <w:sz w:val="18"/>
                <w:szCs w:val="18"/>
              </w:rPr>
            </w:pPr>
            <w:bookmarkStart w:id="52" w:name="_heading=h.22enqavwt4e9" w:colFirst="0" w:colLast="0"/>
            <w:bookmarkEnd w:id="52"/>
            <w:r>
              <w:rPr>
                <w:rFonts w:ascii="Arial" w:eastAsia="Arial" w:hAnsi="Arial" w:cs="Arial"/>
                <w:sz w:val="18"/>
                <w:szCs w:val="18"/>
              </w:rPr>
              <w:t>Reducción de emisiones y control del deterioro ambiental (página 264)</w:t>
            </w:r>
          </w:p>
          <w:p w:rsidR="00D35DC7" w:rsidRDefault="00982954">
            <w:pPr>
              <w:jc w:val="both"/>
              <w:rPr>
                <w:rFonts w:ascii="Arial" w:eastAsia="Arial" w:hAnsi="Arial" w:cs="Arial"/>
                <w:sz w:val="18"/>
                <w:szCs w:val="18"/>
              </w:rPr>
            </w:pPr>
            <w:bookmarkStart w:id="53" w:name="_heading=h.gzt9atsqlf6r" w:colFirst="0" w:colLast="0"/>
            <w:bookmarkEnd w:id="53"/>
            <w:r>
              <w:rPr>
                <w:rFonts w:ascii="Arial" w:eastAsia="Arial" w:hAnsi="Arial" w:cs="Arial"/>
                <w:sz w:val="18"/>
                <w:szCs w:val="18"/>
              </w:rPr>
              <w:t>Servicios públicos inclusivos y sostenibles (página 272)</w:t>
            </w:r>
          </w:p>
          <w:p w:rsidR="00D35DC7" w:rsidRDefault="00982954">
            <w:pPr>
              <w:jc w:val="both"/>
              <w:rPr>
                <w:rFonts w:ascii="Arial" w:eastAsia="Arial" w:hAnsi="Arial" w:cs="Arial"/>
                <w:sz w:val="18"/>
                <w:szCs w:val="18"/>
              </w:rPr>
            </w:pPr>
            <w:bookmarkStart w:id="54" w:name="_heading=h.xymetii93e89" w:colFirst="0" w:colLast="0"/>
            <w:bookmarkEnd w:id="54"/>
            <w:r>
              <w:rPr>
                <w:rFonts w:ascii="Arial" w:eastAsia="Arial" w:hAnsi="Arial" w:cs="Arial"/>
                <w:sz w:val="18"/>
                <w:szCs w:val="18"/>
              </w:rPr>
              <w:t>Atención del déficit social para un hábitat digno (página 284)</w:t>
            </w:r>
          </w:p>
          <w:p w:rsidR="00D35DC7" w:rsidRDefault="00982954">
            <w:pPr>
              <w:jc w:val="both"/>
              <w:rPr>
                <w:rFonts w:ascii="Arial" w:eastAsia="Arial" w:hAnsi="Arial" w:cs="Arial"/>
                <w:sz w:val="18"/>
                <w:szCs w:val="18"/>
              </w:rPr>
            </w:pPr>
            <w:bookmarkStart w:id="55" w:name="_heading=h.zbz4263p87x2" w:colFirst="0" w:colLast="0"/>
            <w:bookmarkEnd w:id="55"/>
            <w:r>
              <w:rPr>
                <w:rFonts w:ascii="Arial" w:eastAsia="Arial" w:hAnsi="Arial" w:cs="Arial"/>
                <w:sz w:val="18"/>
                <w:szCs w:val="18"/>
              </w:rPr>
              <w:t>Acceso equitativo de vivienda urbana y rural (página 288)</w:t>
            </w:r>
          </w:p>
          <w:p w:rsidR="00D35DC7" w:rsidRDefault="00D35DC7">
            <w:pPr>
              <w:jc w:val="both"/>
              <w:rPr>
                <w:rFonts w:ascii="Arial" w:eastAsia="Arial" w:hAnsi="Arial" w:cs="Arial"/>
                <w:b/>
                <w:sz w:val="18"/>
                <w:szCs w:val="18"/>
              </w:rPr>
            </w:pPr>
            <w:bookmarkStart w:id="56" w:name="_heading=h.se5wl4lbw0zo" w:colFirst="0" w:colLast="0"/>
            <w:bookmarkEnd w:id="56"/>
          </w:p>
          <w:p w:rsidR="00D35DC7" w:rsidRDefault="00D35DC7">
            <w:pPr>
              <w:jc w:val="both"/>
              <w:rPr>
                <w:rFonts w:ascii="Arial" w:eastAsia="Arial" w:hAnsi="Arial" w:cs="Arial"/>
                <w:b/>
                <w:sz w:val="18"/>
                <w:szCs w:val="18"/>
              </w:rPr>
            </w:pPr>
            <w:bookmarkStart w:id="57" w:name="_heading=h.4irsn1w89s9k" w:colFirst="0" w:colLast="0"/>
            <w:bookmarkEnd w:id="57"/>
          </w:p>
          <w:p w:rsidR="00D35DC7" w:rsidRDefault="00982954">
            <w:pPr>
              <w:jc w:val="both"/>
              <w:rPr>
                <w:rFonts w:ascii="Arial" w:eastAsia="Arial" w:hAnsi="Arial" w:cs="Arial"/>
                <w:b/>
                <w:sz w:val="18"/>
                <w:szCs w:val="18"/>
              </w:rPr>
            </w:pPr>
            <w:r>
              <w:rPr>
                <w:rFonts w:ascii="Arial" w:eastAsia="Arial" w:hAnsi="Arial" w:cs="Arial"/>
                <w:b/>
                <w:sz w:val="18"/>
                <w:szCs w:val="18"/>
              </w:rPr>
              <w:t xml:space="preserve">Programas Objetivo 5: </w:t>
            </w:r>
            <w:r>
              <w:rPr>
                <w:rFonts w:ascii="Arial" w:eastAsia="Arial" w:hAnsi="Arial" w:cs="Arial"/>
                <w:sz w:val="18"/>
                <w:szCs w:val="18"/>
              </w:rPr>
              <w:t>“Bogotá Confía en su Gobierno”</w:t>
            </w:r>
          </w:p>
          <w:p w:rsidR="00D35DC7" w:rsidRDefault="00982954">
            <w:pPr>
              <w:jc w:val="both"/>
              <w:rPr>
                <w:rFonts w:ascii="Arial" w:eastAsia="Arial" w:hAnsi="Arial" w:cs="Arial"/>
                <w:sz w:val="18"/>
                <w:szCs w:val="18"/>
              </w:rPr>
            </w:pPr>
            <w:bookmarkStart w:id="58" w:name="_heading=h.xo2zfgibg3b0" w:colFirst="0" w:colLast="0"/>
            <w:bookmarkEnd w:id="58"/>
            <w:r>
              <w:rPr>
                <w:rFonts w:ascii="Arial" w:eastAsia="Arial" w:hAnsi="Arial" w:cs="Arial"/>
                <w:sz w:val="18"/>
                <w:szCs w:val="18"/>
              </w:rPr>
              <w:t>Gobierno abierto, íntegro, transparente y corresponsable (página 301)</w:t>
            </w:r>
          </w:p>
          <w:p w:rsidR="00D35DC7" w:rsidRDefault="00982954">
            <w:pPr>
              <w:jc w:val="both"/>
              <w:rPr>
                <w:rFonts w:ascii="Arial" w:eastAsia="Arial" w:hAnsi="Arial" w:cs="Arial"/>
                <w:sz w:val="18"/>
                <w:szCs w:val="18"/>
              </w:rPr>
            </w:pPr>
            <w:bookmarkStart w:id="59" w:name="_heading=h.1ojbulezoc0o" w:colFirst="0" w:colLast="0"/>
            <w:bookmarkEnd w:id="59"/>
            <w:r>
              <w:rPr>
                <w:rFonts w:ascii="Arial" w:eastAsia="Arial" w:hAnsi="Arial" w:cs="Arial"/>
                <w:sz w:val="18"/>
                <w:szCs w:val="18"/>
              </w:rPr>
              <w:t>Fortalecimiento institucional para un gobierno confiable (página 310)</w:t>
            </w:r>
          </w:p>
          <w:p w:rsidR="00D35DC7" w:rsidRDefault="00982954">
            <w:pPr>
              <w:jc w:val="both"/>
              <w:rPr>
                <w:rFonts w:ascii="Arial" w:eastAsia="Arial" w:hAnsi="Arial" w:cs="Arial"/>
                <w:sz w:val="18"/>
                <w:szCs w:val="18"/>
              </w:rPr>
            </w:pPr>
            <w:bookmarkStart w:id="60" w:name="_heading=h.wik3f163ndsg" w:colFirst="0" w:colLast="0"/>
            <w:bookmarkEnd w:id="60"/>
            <w:r>
              <w:rPr>
                <w:rFonts w:ascii="Arial" w:eastAsia="Arial" w:hAnsi="Arial" w:cs="Arial"/>
                <w:sz w:val="18"/>
                <w:szCs w:val="18"/>
              </w:rPr>
              <w:t>Talento Humano unido por la ciudadanía (página 318)</w:t>
            </w:r>
          </w:p>
          <w:p w:rsidR="00D35DC7" w:rsidRDefault="00982954">
            <w:pPr>
              <w:jc w:val="both"/>
              <w:rPr>
                <w:rFonts w:ascii="Arial" w:eastAsia="Arial" w:hAnsi="Arial" w:cs="Arial"/>
                <w:sz w:val="18"/>
                <w:szCs w:val="18"/>
              </w:rPr>
            </w:pPr>
            <w:bookmarkStart w:id="61" w:name="_heading=h.x3duy03oyh2a" w:colFirst="0" w:colLast="0"/>
            <w:bookmarkEnd w:id="61"/>
            <w:r>
              <w:rPr>
                <w:rFonts w:ascii="Arial" w:eastAsia="Arial" w:hAnsi="Arial" w:cs="Arial"/>
                <w:sz w:val="18"/>
                <w:szCs w:val="18"/>
              </w:rPr>
              <w:t>Bogotá Ciudad Inteligente (página 323)</w:t>
            </w:r>
          </w:p>
          <w:p w:rsidR="00D35DC7" w:rsidRDefault="00982954">
            <w:pPr>
              <w:jc w:val="both"/>
              <w:rPr>
                <w:rFonts w:ascii="Arial" w:eastAsia="Arial" w:hAnsi="Arial" w:cs="Arial"/>
                <w:sz w:val="18"/>
                <w:szCs w:val="18"/>
              </w:rPr>
            </w:pPr>
            <w:bookmarkStart w:id="62" w:name="_heading=h.4mxzwybt9bo3" w:colFirst="0" w:colLast="0"/>
            <w:bookmarkEnd w:id="62"/>
            <w:r>
              <w:rPr>
                <w:rFonts w:ascii="Arial" w:eastAsia="Arial" w:hAnsi="Arial" w:cs="Arial"/>
                <w:sz w:val="18"/>
                <w:szCs w:val="18"/>
              </w:rPr>
              <w:t>Innovación Pública para la generación de la confianza ciudadana (página 329)</w:t>
            </w:r>
          </w:p>
          <w:p w:rsidR="00D35DC7" w:rsidRDefault="00982954">
            <w:pPr>
              <w:jc w:val="both"/>
              <w:rPr>
                <w:rFonts w:ascii="Arial" w:eastAsia="Arial" w:hAnsi="Arial" w:cs="Arial"/>
                <w:sz w:val="18"/>
                <w:szCs w:val="18"/>
              </w:rPr>
            </w:pPr>
            <w:bookmarkStart w:id="63" w:name="_heading=h.m8wc7sgvezm" w:colFirst="0" w:colLast="0"/>
            <w:bookmarkEnd w:id="63"/>
            <w:r>
              <w:rPr>
                <w:rFonts w:ascii="Arial" w:eastAsia="Arial" w:hAnsi="Arial" w:cs="Arial"/>
                <w:sz w:val="18"/>
                <w:szCs w:val="18"/>
              </w:rPr>
              <w:t>Construyendo Confianza con la Región (página 333)</w:t>
            </w:r>
          </w:p>
          <w:p w:rsidR="00D35DC7" w:rsidRDefault="00982954">
            <w:pPr>
              <w:jc w:val="both"/>
              <w:rPr>
                <w:rFonts w:ascii="Arial" w:eastAsia="Arial" w:hAnsi="Arial" w:cs="Arial"/>
                <w:sz w:val="18"/>
                <w:szCs w:val="18"/>
              </w:rPr>
            </w:pPr>
            <w:bookmarkStart w:id="64" w:name="_heading=h.i75klpiczxf9" w:colFirst="0" w:colLast="0"/>
            <w:bookmarkEnd w:id="64"/>
            <w:r>
              <w:rPr>
                <w:rFonts w:ascii="Arial" w:eastAsia="Arial" w:hAnsi="Arial" w:cs="Arial"/>
                <w:sz w:val="18"/>
                <w:szCs w:val="18"/>
              </w:rPr>
              <w:t>Gestión eficiente de los ingresos y gastos enfocados en la confianza ciudadana (página 339)</w:t>
            </w:r>
          </w:p>
          <w:p w:rsidR="00D35DC7" w:rsidRDefault="00982954">
            <w:pPr>
              <w:jc w:val="both"/>
              <w:rPr>
                <w:rFonts w:ascii="Arial" w:eastAsia="Arial" w:hAnsi="Arial" w:cs="Arial"/>
                <w:sz w:val="18"/>
                <w:szCs w:val="18"/>
              </w:rPr>
            </w:pPr>
            <w:bookmarkStart w:id="65" w:name="_heading=h.lcmo9lhus5uq" w:colFirst="0" w:colLast="0"/>
            <w:bookmarkEnd w:id="65"/>
            <w:r>
              <w:rPr>
                <w:rFonts w:ascii="Arial" w:eastAsia="Arial" w:hAnsi="Arial" w:cs="Arial"/>
                <w:sz w:val="18"/>
                <w:szCs w:val="18"/>
              </w:rPr>
              <w:t>Camino hacia una democracia deliberativa con un gobierno cercano a la gente y con participación ciudadana (página 345).</w:t>
            </w:r>
          </w:p>
          <w:p w:rsidR="00D35DC7" w:rsidRDefault="00D35DC7">
            <w:pPr>
              <w:jc w:val="both"/>
              <w:rPr>
                <w:rFonts w:ascii="Arial" w:eastAsia="Arial" w:hAnsi="Arial" w:cs="Arial"/>
                <w:sz w:val="18"/>
                <w:szCs w:val="18"/>
              </w:rPr>
            </w:pPr>
            <w:bookmarkStart w:id="66" w:name="_heading=h.7f868w4q6hnr" w:colFirst="0" w:colLast="0"/>
            <w:bookmarkEnd w:id="66"/>
          </w:p>
          <w:p w:rsidR="00D35DC7" w:rsidRDefault="00982954">
            <w:pPr>
              <w:jc w:val="both"/>
              <w:rPr>
                <w:rFonts w:ascii="Arial" w:eastAsia="Arial" w:hAnsi="Arial" w:cs="Arial"/>
                <w:sz w:val="18"/>
                <w:szCs w:val="18"/>
              </w:rPr>
            </w:pPr>
            <w:bookmarkStart w:id="67" w:name="_heading=h.fzqv1d2hcv9" w:colFirst="0" w:colLast="0"/>
            <w:bookmarkEnd w:id="67"/>
            <w:r>
              <w:rPr>
                <w:rFonts w:ascii="Arial" w:eastAsia="Arial" w:hAnsi="Arial" w:cs="Arial"/>
                <w:sz w:val="18"/>
                <w:szCs w:val="18"/>
              </w:rPr>
              <w:t>Adicionalmente, la información relacionada con las políticas públicas se encuentra en el capítulo Vi. Anexos.  1. “Matriz Plan de Ordenamiento Territorial y Políticas Públicas” (página 534). El cual se encuentra disponible en la página del Concejo,”</w:t>
            </w:r>
            <w:hyperlink r:id="rId28">
              <w:r>
                <w:rPr>
                  <w:rFonts w:ascii="Arial" w:eastAsia="Arial" w:hAnsi="Arial" w:cs="Arial"/>
                  <w:sz w:val="18"/>
                  <w:szCs w:val="18"/>
                  <w:highlight w:val="white"/>
                  <w:u w:val="single"/>
                </w:rPr>
                <w:t>1. ANEXOS Políticas Públicas y POT</w:t>
              </w:r>
            </w:hyperlink>
            <w:r>
              <w:rPr>
                <w:rFonts w:ascii="Arial" w:eastAsia="Arial" w:hAnsi="Arial" w:cs="Arial"/>
                <w:sz w:val="18"/>
                <w:szCs w:val="18"/>
              </w:rPr>
              <w:t>”, en el link:</w:t>
            </w:r>
          </w:p>
          <w:bookmarkStart w:id="68" w:name="_heading=h.gxo29ynrk4qs" w:colFirst="0" w:colLast="0"/>
          <w:bookmarkEnd w:id="68"/>
          <w:p w:rsidR="00D35DC7" w:rsidRDefault="00982954">
            <w:pPr>
              <w:jc w:val="both"/>
              <w:rPr>
                <w:rFonts w:ascii="Arial" w:eastAsia="Arial" w:hAnsi="Arial" w:cs="Arial"/>
                <w:sz w:val="18"/>
                <w:szCs w:val="18"/>
              </w:rPr>
            </w:pPr>
            <w:r>
              <w:fldChar w:fldCharType="begin"/>
            </w:r>
            <w:r>
              <w:instrText xml:space="preserve"> HYPERLINK "https://concejodebogota.gov.co/proyectos-de-acuerdo-2024/concejo/2024-01-10/095525.php" \l ":~:text=PROYECTO%20DE%20ACUERDO%20NO%20330,y%20se%20dictan%20otras%20disposiciones.%22" \h </w:instrText>
            </w:r>
            <w:r>
              <w:fldChar w:fldCharType="separate"/>
            </w:r>
            <w:r>
              <w:rPr>
                <w:rFonts w:ascii="Arial" w:eastAsia="Arial" w:hAnsi="Arial" w:cs="Arial"/>
                <w:sz w:val="18"/>
                <w:szCs w:val="18"/>
                <w:highlight w:val="white"/>
                <w:u w:val="single"/>
              </w:rPr>
              <w:t>https://concejodebogota.gov.co/proyectos-de-acuerdo-2024/concejo/2024-01-10/095525.php#:~:text=PROYECTO%20DE%20ACUERDO%20NO%20330,y%20se%20dictan%20otras%20disposiciones.%22</w:t>
            </w:r>
            <w:r>
              <w:rPr>
                <w:rFonts w:ascii="Arial" w:eastAsia="Arial" w:hAnsi="Arial" w:cs="Arial"/>
                <w:sz w:val="18"/>
                <w:szCs w:val="18"/>
                <w:highlight w:val="white"/>
                <w:u w:val="single"/>
              </w:rPr>
              <w:fldChar w:fldCharType="end"/>
            </w:r>
          </w:p>
        </w:tc>
        <w:tc>
          <w:tcPr>
            <w:tcW w:w="3000"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rsidR="00D35DC7" w:rsidRDefault="00982954">
            <w:pPr>
              <w:jc w:val="both"/>
              <w:rPr>
                <w:rFonts w:ascii="Arial" w:eastAsia="Arial" w:hAnsi="Arial" w:cs="Arial"/>
                <w:sz w:val="18"/>
                <w:szCs w:val="18"/>
              </w:rPr>
            </w:pPr>
            <w:bookmarkStart w:id="69" w:name="_heading=h.iav2ywx864yo" w:colFirst="0" w:colLast="0"/>
            <w:bookmarkEnd w:id="69"/>
            <w:r>
              <w:rPr>
                <w:rFonts w:ascii="Arial" w:eastAsia="Arial" w:hAnsi="Arial" w:cs="Arial"/>
                <w:b/>
                <w:sz w:val="18"/>
                <w:szCs w:val="18"/>
              </w:rPr>
              <w:t>Artículo 8. Programas del objetivo estratégico “Bogotá avanza en seguridad”</w:t>
            </w:r>
            <w:r>
              <w:rPr>
                <w:rFonts w:ascii="Arial" w:eastAsia="Arial" w:hAnsi="Arial" w:cs="Arial"/>
                <w:sz w:val="18"/>
                <w:szCs w:val="18"/>
              </w:rPr>
              <w:t>.</w:t>
            </w:r>
          </w:p>
          <w:p w:rsidR="00D35DC7" w:rsidRDefault="00982954">
            <w:pPr>
              <w:jc w:val="both"/>
              <w:rPr>
                <w:rFonts w:ascii="Arial" w:eastAsia="Arial" w:hAnsi="Arial" w:cs="Arial"/>
                <w:sz w:val="18"/>
                <w:szCs w:val="18"/>
              </w:rPr>
            </w:pPr>
            <w:bookmarkStart w:id="70" w:name="_heading=h.7g0szk7rpp3p" w:colFirst="0" w:colLast="0"/>
            <w:bookmarkEnd w:id="70"/>
            <w:r>
              <w:rPr>
                <w:rFonts w:ascii="Arial" w:eastAsia="Arial" w:hAnsi="Arial" w:cs="Arial"/>
                <w:sz w:val="18"/>
                <w:szCs w:val="18"/>
              </w:rPr>
              <w:t xml:space="preserve">8.1. Programa 1. Diálogo social y cultura ciudadana para la convivencia pacífica y la recuperación de la confianza. </w:t>
            </w:r>
          </w:p>
          <w:p w:rsidR="00D35DC7" w:rsidRDefault="00982954">
            <w:pPr>
              <w:jc w:val="both"/>
              <w:rPr>
                <w:rFonts w:ascii="Arial" w:eastAsia="Arial" w:hAnsi="Arial" w:cs="Arial"/>
                <w:sz w:val="18"/>
                <w:szCs w:val="18"/>
              </w:rPr>
            </w:pPr>
            <w:bookmarkStart w:id="71" w:name="_heading=h.mz3z0ckz8cjl" w:colFirst="0" w:colLast="0"/>
            <w:bookmarkEnd w:id="71"/>
            <w:r>
              <w:rPr>
                <w:rFonts w:ascii="Arial" w:eastAsia="Arial" w:hAnsi="Arial" w:cs="Arial"/>
                <w:sz w:val="18"/>
                <w:szCs w:val="18"/>
              </w:rPr>
              <w:t>8.2. Programa 2. Cero tolerancia a las violencias contra las mujeres y violencias basadas en género.</w:t>
            </w:r>
          </w:p>
          <w:p w:rsidR="00D35DC7" w:rsidRDefault="00982954">
            <w:pPr>
              <w:jc w:val="both"/>
              <w:rPr>
                <w:rFonts w:ascii="Arial" w:eastAsia="Arial" w:hAnsi="Arial" w:cs="Arial"/>
                <w:sz w:val="18"/>
                <w:szCs w:val="18"/>
              </w:rPr>
            </w:pPr>
            <w:bookmarkStart w:id="72" w:name="_heading=h.hoqrel69oye6" w:colFirst="0" w:colLast="0"/>
            <w:bookmarkEnd w:id="72"/>
            <w:r>
              <w:rPr>
                <w:rFonts w:ascii="Arial" w:eastAsia="Arial" w:hAnsi="Arial" w:cs="Arial"/>
                <w:sz w:val="18"/>
                <w:szCs w:val="18"/>
              </w:rPr>
              <w:t>8.3. Programa 3. Desmantelamiento de estructuras criminales y delincuenciales con mejores capacidades y activos tecnológicos.</w:t>
            </w:r>
          </w:p>
          <w:p w:rsidR="00D35DC7" w:rsidRDefault="00982954">
            <w:pPr>
              <w:jc w:val="both"/>
              <w:rPr>
                <w:rFonts w:ascii="Arial" w:eastAsia="Arial" w:hAnsi="Arial" w:cs="Arial"/>
                <w:sz w:val="18"/>
                <w:szCs w:val="18"/>
              </w:rPr>
            </w:pPr>
            <w:bookmarkStart w:id="73" w:name="_heading=h.os3yg76cl8hh" w:colFirst="0" w:colLast="0"/>
            <w:bookmarkEnd w:id="73"/>
            <w:r>
              <w:rPr>
                <w:rFonts w:ascii="Arial" w:eastAsia="Arial" w:hAnsi="Arial" w:cs="Arial"/>
                <w:sz w:val="18"/>
                <w:szCs w:val="18"/>
              </w:rPr>
              <w:t>8.4. Programa 4. Servicios centrados en la justicia.</w:t>
            </w:r>
          </w:p>
          <w:p w:rsidR="00D35DC7" w:rsidRDefault="00982954">
            <w:pPr>
              <w:jc w:val="both"/>
              <w:rPr>
                <w:rFonts w:ascii="Arial" w:eastAsia="Arial" w:hAnsi="Arial" w:cs="Arial"/>
                <w:sz w:val="18"/>
                <w:szCs w:val="18"/>
              </w:rPr>
            </w:pPr>
            <w:bookmarkStart w:id="74" w:name="_heading=h.4ahvb8ca39j8" w:colFirst="0" w:colLast="0"/>
            <w:bookmarkEnd w:id="74"/>
            <w:r>
              <w:rPr>
                <w:rFonts w:ascii="Arial" w:eastAsia="Arial" w:hAnsi="Arial" w:cs="Arial"/>
                <w:sz w:val="18"/>
                <w:szCs w:val="18"/>
              </w:rPr>
              <w:t xml:space="preserve">8.5. Programa 5. Espacio público seguro e inclusivo. </w:t>
            </w:r>
          </w:p>
          <w:p w:rsidR="00D35DC7" w:rsidRDefault="00982954">
            <w:pPr>
              <w:jc w:val="both"/>
              <w:rPr>
                <w:rFonts w:ascii="Arial" w:eastAsia="Arial" w:hAnsi="Arial" w:cs="Arial"/>
                <w:sz w:val="18"/>
                <w:szCs w:val="18"/>
              </w:rPr>
            </w:pPr>
            <w:bookmarkStart w:id="75" w:name="_heading=h.v2ns66ei3fz0" w:colFirst="0" w:colLast="0"/>
            <w:bookmarkEnd w:id="75"/>
            <w:r>
              <w:rPr>
                <w:rFonts w:ascii="Arial" w:eastAsia="Arial" w:hAnsi="Arial" w:cs="Arial"/>
                <w:sz w:val="18"/>
                <w:szCs w:val="18"/>
              </w:rPr>
              <w:t xml:space="preserve">8.6. Programa 6. Movilidad segura e inclusiva. </w:t>
            </w:r>
          </w:p>
          <w:p w:rsidR="00D35DC7" w:rsidRDefault="00982954">
            <w:pPr>
              <w:jc w:val="both"/>
              <w:rPr>
                <w:rFonts w:ascii="Arial" w:eastAsia="Arial" w:hAnsi="Arial" w:cs="Arial"/>
                <w:b/>
                <w:sz w:val="18"/>
                <w:szCs w:val="18"/>
              </w:rPr>
            </w:pPr>
            <w:r>
              <w:rPr>
                <w:rFonts w:ascii="Arial" w:eastAsia="Arial" w:hAnsi="Arial" w:cs="Arial"/>
                <w:b/>
                <w:sz w:val="18"/>
                <w:szCs w:val="18"/>
              </w:rPr>
              <w:t xml:space="preserve">Artículo 10. Programas del objetivo estratégico “Bogotá confía en su Bien-Estar”. </w:t>
            </w:r>
          </w:p>
          <w:p w:rsidR="00D35DC7" w:rsidRDefault="00982954">
            <w:pPr>
              <w:jc w:val="both"/>
              <w:rPr>
                <w:rFonts w:ascii="Arial" w:eastAsia="Arial" w:hAnsi="Arial" w:cs="Arial"/>
                <w:sz w:val="18"/>
                <w:szCs w:val="18"/>
              </w:rPr>
            </w:pPr>
            <w:bookmarkStart w:id="76" w:name="_heading=h.mojfiwq307wk" w:colFirst="0" w:colLast="0"/>
            <w:bookmarkEnd w:id="76"/>
            <w:r>
              <w:rPr>
                <w:rFonts w:ascii="Arial" w:eastAsia="Arial" w:hAnsi="Arial" w:cs="Arial"/>
                <w:sz w:val="18"/>
                <w:szCs w:val="18"/>
              </w:rPr>
              <w:t>10.1. Programa 7. Bogotá, una ciudad con menos pobreza.</w:t>
            </w:r>
          </w:p>
          <w:p w:rsidR="00D35DC7" w:rsidRDefault="00982954">
            <w:pPr>
              <w:jc w:val="both"/>
              <w:rPr>
                <w:rFonts w:ascii="Arial" w:eastAsia="Arial" w:hAnsi="Arial" w:cs="Arial"/>
                <w:sz w:val="18"/>
                <w:szCs w:val="18"/>
              </w:rPr>
            </w:pPr>
            <w:bookmarkStart w:id="77" w:name="_heading=h.p99uc1heu82y" w:colFirst="0" w:colLast="0"/>
            <w:bookmarkEnd w:id="77"/>
            <w:r>
              <w:rPr>
                <w:rFonts w:ascii="Arial" w:eastAsia="Arial" w:hAnsi="Arial" w:cs="Arial"/>
                <w:sz w:val="18"/>
                <w:szCs w:val="18"/>
              </w:rPr>
              <w:t>10.2. Programa 8. Erradicación del hambre en Bogotá.</w:t>
            </w:r>
          </w:p>
          <w:p w:rsidR="00D35DC7" w:rsidRDefault="00982954">
            <w:pPr>
              <w:jc w:val="both"/>
              <w:rPr>
                <w:rFonts w:ascii="Arial" w:eastAsia="Arial" w:hAnsi="Arial" w:cs="Arial"/>
                <w:sz w:val="18"/>
                <w:szCs w:val="18"/>
              </w:rPr>
            </w:pPr>
            <w:bookmarkStart w:id="78" w:name="_heading=h.ve6epahivol4" w:colFirst="0" w:colLast="0"/>
            <w:bookmarkEnd w:id="78"/>
            <w:r>
              <w:rPr>
                <w:rFonts w:ascii="Arial" w:eastAsia="Arial" w:hAnsi="Arial" w:cs="Arial"/>
                <w:sz w:val="18"/>
                <w:szCs w:val="18"/>
              </w:rPr>
              <w:t>10.3. Programa 9. Reducción de formas extremas de exclusión.</w:t>
            </w:r>
          </w:p>
          <w:p w:rsidR="00D35DC7" w:rsidRDefault="00982954">
            <w:pPr>
              <w:jc w:val="both"/>
              <w:rPr>
                <w:rFonts w:ascii="Arial" w:eastAsia="Arial" w:hAnsi="Arial" w:cs="Arial"/>
                <w:sz w:val="18"/>
                <w:szCs w:val="18"/>
              </w:rPr>
            </w:pPr>
            <w:bookmarkStart w:id="79" w:name="_heading=h.wn5jn4cr7ycj" w:colFirst="0" w:colLast="0"/>
            <w:bookmarkEnd w:id="79"/>
            <w:r>
              <w:rPr>
                <w:rFonts w:ascii="Arial" w:eastAsia="Arial" w:hAnsi="Arial" w:cs="Arial"/>
                <w:sz w:val="18"/>
                <w:szCs w:val="18"/>
              </w:rPr>
              <w:t>10.4. Programa 10. Salud Pública Integrada e Integral.</w:t>
            </w:r>
          </w:p>
          <w:p w:rsidR="00D35DC7" w:rsidRDefault="00982954">
            <w:pPr>
              <w:jc w:val="both"/>
              <w:rPr>
                <w:rFonts w:ascii="Arial" w:eastAsia="Arial" w:hAnsi="Arial" w:cs="Arial"/>
                <w:sz w:val="18"/>
                <w:szCs w:val="18"/>
              </w:rPr>
            </w:pPr>
            <w:bookmarkStart w:id="80" w:name="_heading=h.pn2wqacy7xq9" w:colFirst="0" w:colLast="0"/>
            <w:bookmarkEnd w:id="80"/>
            <w:r>
              <w:rPr>
                <w:rFonts w:ascii="Arial" w:eastAsia="Arial" w:hAnsi="Arial" w:cs="Arial"/>
                <w:sz w:val="18"/>
                <w:szCs w:val="18"/>
              </w:rPr>
              <w:t>10.5. Programa 11. Salud con calidad y en el territorio.</w:t>
            </w:r>
          </w:p>
          <w:p w:rsidR="00D35DC7" w:rsidRDefault="00982954">
            <w:pPr>
              <w:jc w:val="both"/>
              <w:rPr>
                <w:rFonts w:ascii="Arial" w:eastAsia="Arial" w:hAnsi="Arial" w:cs="Arial"/>
                <w:sz w:val="18"/>
                <w:szCs w:val="18"/>
              </w:rPr>
            </w:pPr>
            <w:bookmarkStart w:id="81" w:name="_heading=h.cxwcndhd7tce" w:colFirst="0" w:colLast="0"/>
            <w:bookmarkEnd w:id="81"/>
            <w:r>
              <w:rPr>
                <w:rFonts w:ascii="Arial" w:eastAsia="Arial" w:hAnsi="Arial" w:cs="Arial"/>
                <w:sz w:val="18"/>
                <w:szCs w:val="18"/>
              </w:rPr>
              <w:t>10.6. Programa 12. Bogotá cuida a su gente.</w:t>
            </w:r>
          </w:p>
          <w:p w:rsidR="00D35DC7" w:rsidRDefault="00982954">
            <w:pPr>
              <w:jc w:val="both"/>
              <w:rPr>
                <w:rFonts w:ascii="Arial" w:eastAsia="Arial" w:hAnsi="Arial" w:cs="Arial"/>
                <w:sz w:val="18"/>
                <w:szCs w:val="18"/>
              </w:rPr>
            </w:pPr>
            <w:bookmarkStart w:id="82" w:name="_heading=h.189i117dx7y3" w:colFirst="0" w:colLast="0"/>
            <w:bookmarkEnd w:id="82"/>
            <w:r>
              <w:rPr>
                <w:rFonts w:ascii="Arial" w:eastAsia="Arial" w:hAnsi="Arial" w:cs="Arial"/>
                <w:sz w:val="18"/>
                <w:szCs w:val="18"/>
              </w:rPr>
              <w:t>10.7. Programa 13. Bogotá, un territorio de paz y reconciliación en donde todos puedan volver a empezar.</w:t>
            </w:r>
          </w:p>
          <w:p w:rsidR="00D35DC7" w:rsidRDefault="00982954">
            <w:pPr>
              <w:jc w:val="both"/>
              <w:rPr>
                <w:rFonts w:ascii="Arial" w:eastAsia="Arial" w:hAnsi="Arial" w:cs="Arial"/>
                <w:sz w:val="18"/>
                <w:szCs w:val="18"/>
              </w:rPr>
            </w:pPr>
            <w:bookmarkStart w:id="83" w:name="_heading=h.d8q8itigs84h" w:colFirst="0" w:colLast="0"/>
            <w:bookmarkEnd w:id="83"/>
            <w:r>
              <w:rPr>
                <w:rFonts w:ascii="Arial" w:eastAsia="Arial" w:hAnsi="Arial" w:cs="Arial"/>
                <w:sz w:val="18"/>
                <w:szCs w:val="18"/>
              </w:rPr>
              <w:t>10.8. Programa 14. Bogotá deportiva, recreativa, artística, patrimonial e intercultural.</w:t>
            </w:r>
          </w:p>
          <w:p w:rsidR="00D35DC7" w:rsidRDefault="00982954">
            <w:pPr>
              <w:jc w:val="both"/>
              <w:rPr>
                <w:rFonts w:ascii="Arial" w:eastAsia="Arial" w:hAnsi="Arial" w:cs="Arial"/>
                <w:sz w:val="18"/>
                <w:szCs w:val="18"/>
              </w:rPr>
            </w:pPr>
            <w:bookmarkStart w:id="84" w:name="_heading=h.do3okfy9aven" w:colFirst="0" w:colLast="0"/>
            <w:bookmarkEnd w:id="84"/>
            <w:r>
              <w:rPr>
                <w:rFonts w:ascii="Arial" w:eastAsia="Arial" w:hAnsi="Arial" w:cs="Arial"/>
                <w:sz w:val="18"/>
                <w:szCs w:val="18"/>
              </w:rPr>
              <w:t>10.9. Programa 15. Bogotá protege todas las formas de vida.</w:t>
            </w:r>
          </w:p>
          <w:p w:rsidR="00D35DC7" w:rsidRDefault="00982954">
            <w:pPr>
              <w:jc w:val="both"/>
              <w:rPr>
                <w:rFonts w:ascii="Arial" w:eastAsia="Arial" w:hAnsi="Arial" w:cs="Arial"/>
                <w:b/>
                <w:sz w:val="18"/>
                <w:szCs w:val="18"/>
              </w:rPr>
            </w:pPr>
            <w:bookmarkStart w:id="85" w:name="_heading=h.bn1e11hdf31" w:colFirst="0" w:colLast="0"/>
            <w:bookmarkEnd w:id="85"/>
            <w:r>
              <w:rPr>
                <w:rFonts w:ascii="Arial" w:eastAsia="Arial" w:hAnsi="Arial" w:cs="Arial"/>
                <w:b/>
                <w:sz w:val="18"/>
                <w:szCs w:val="18"/>
              </w:rPr>
              <w:t>Artículo 12. Programas del objetivo estratégico “Bogotá confía en su potencial”.</w:t>
            </w:r>
          </w:p>
          <w:p w:rsidR="00D35DC7" w:rsidRDefault="00982954">
            <w:pPr>
              <w:jc w:val="both"/>
              <w:rPr>
                <w:rFonts w:ascii="Arial" w:eastAsia="Arial" w:hAnsi="Arial" w:cs="Arial"/>
                <w:sz w:val="18"/>
                <w:szCs w:val="18"/>
              </w:rPr>
            </w:pPr>
            <w:bookmarkStart w:id="86" w:name="_heading=h.ogc6on4mhuj5" w:colFirst="0" w:colLast="0"/>
            <w:bookmarkEnd w:id="86"/>
            <w:r>
              <w:rPr>
                <w:rFonts w:ascii="Arial" w:eastAsia="Arial" w:hAnsi="Arial" w:cs="Arial"/>
                <w:sz w:val="18"/>
                <w:szCs w:val="18"/>
              </w:rPr>
              <w:t>12.1. Programa 16. La educación como eje del potencial humano.</w:t>
            </w:r>
          </w:p>
          <w:p w:rsidR="00D35DC7" w:rsidRDefault="00982954">
            <w:pPr>
              <w:jc w:val="both"/>
              <w:rPr>
                <w:rFonts w:ascii="Arial" w:eastAsia="Arial" w:hAnsi="Arial" w:cs="Arial"/>
                <w:sz w:val="18"/>
                <w:szCs w:val="18"/>
              </w:rPr>
            </w:pPr>
            <w:bookmarkStart w:id="87" w:name="_heading=h.q4bo84ps4sbt" w:colFirst="0" w:colLast="0"/>
            <w:bookmarkEnd w:id="87"/>
            <w:r>
              <w:rPr>
                <w:rFonts w:ascii="Arial" w:eastAsia="Arial" w:hAnsi="Arial" w:cs="Arial"/>
                <w:sz w:val="18"/>
                <w:szCs w:val="18"/>
              </w:rPr>
              <w:t>12.2. Programa 17. Formación para el trabajo y acceso a oportunidades educativas.</w:t>
            </w:r>
          </w:p>
          <w:p w:rsidR="00D35DC7" w:rsidRDefault="00982954">
            <w:pPr>
              <w:jc w:val="both"/>
              <w:rPr>
                <w:rFonts w:ascii="Arial" w:eastAsia="Arial" w:hAnsi="Arial" w:cs="Arial"/>
                <w:sz w:val="18"/>
                <w:szCs w:val="18"/>
              </w:rPr>
            </w:pPr>
            <w:bookmarkStart w:id="88" w:name="_heading=h.y9hvhcumepu8" w:colFirst="0" w:colLast="0"/>
            <w:bookmarkEnd w:id="88"/>
            <w:r>
              <w:rPr>
                <w:rFonts w:ascii="Arial" w:eastAsia="Arial" w:hAnsi="Arial" w:cs="Arial"/>
                <w:sz w:val="18"/>
                <w:szCs w:val="18"/>
              </w:rPr>
              <w:t>12.3. Programa 18. Ciencia, Tecnología e Innovación-CTel para desarrollar nuestro potencial y promover el de nuestros vecinos regionales.</w:t>
            </w:r>
          </w:p>
          <w:p w:rsidR="00D35DC7" w:rsidRDefault="00982954">
            <w:pPr>
              <w:jc w:val="both"/>
              <w:rPr>
                <w:rFonts w:ascii="Arial" w:eastAsia="Arial" w:hAnsi="Arial" w:cs="Arial"/>
                <w:sz w:val="18"/>
                <w:szCs w:val="18"/>
              </w:rPr>
            </w:pPr>
            <w:bookmarkStart w:id="89" w:name="_heading=h.o4g5dsi7a5we" w:colFirst="0" w:colLast="0"/>
            <w:bookmarkEnd w:id="89"/>
            <w:r>
              <w:rPr>
                <w:rFonts w:ascii="Arial" w:eastAsia="Arial" w:hAnsi="Arial" w:cs="Arial"/>
                <w:sz w:val="18"/>
                <w:szCs w:val="18"/>
              </w:rPr>
              <w:t>12.4. Programa 19. Desarrollo empresarial, productividad y empleo.</w:t>
            </w:r>
          </w:p>
          <w:p w:rsidR="00D35DC7" w:rsidRDefault="00982954">
            <w:pPr>
              <w:jc w:val="both"/>
              <w:rPr>
                <w:rFonts w:ascii="Arial" w:eastAsia="Arial" w:hAnsi="Arial" w:cs="Arial"/>
                <w:sz w:val="18"/>
                <w:szCs w:val="18"/>
              </w:rPr>
            </w:pPr>
            <w:bookmarkStart w:id="90" w:name="_heading=h.875h1xjtik22" w:colFirst="0" w:colLast="0"/>
            <w:bookmarkEnd w:id="90"/>
            <w:r>
              <w:rPr>
                <w:rFonts w:ascii="Arial" w:eastAsia="Arial" w:hAnsi="Arial" w:cs="Arial"/>
                <w:sz w:val="18"/>
                <w:szCs w:val="18"/>
              </w:rPr>
              <w:t>12.5. Programa 20. Promoción del emprendimiento formal, equitativo e incluyente.</w:t>
            </w:r>
          </w:p>
          <w:p w:rsidR="00D35DC7" w:rsidRDefault="00982954">
            <w:pPr>
              <w:jc w:val="both"/>
              <w:rPr>
                <w:rFonts w:ascii="Arial" w:eastAsia="Arial" w:hAnsi="Arial" w:cs="Arial"/>
                <w:sz w:val="18"/>
                <w:szCs w:val="18"/>
              </w:rPr>
            </w:pPr>
            <w:bookmarkStart w:id="91" w:name="_heading=h.w4odjpmpti4u" w:colFirst="0" w:colLast="0"/>
            <w:bookmarkEnd w:id="91"/>
            <w:r>
              <w:rPr>
                <w:rFonts w:ascii="Arial" w:eastAsia="Arial" w:hAnsi="Arial" w:cs="Arial"/>
                <w:sz w:val="18"/>
                <w:szCs w:val="18"/>
              </w:rPr>
              <w:t>12.6. Programa 21. Bogotá Ciudad Portuaria.</w:t>
            </w:r>
          </w:p>
          <w:p w:rsidR="00D35DC7" w:rsidRDefault="00982954">
            <w:pPr>
              <w:jc w:val="both"/>
              <w:rPr>
                <w:rFonts w:ascii="Arial" w:eastAsia="Arial" w:hAnsi="Arial" w:cs="Arial"/>
                <w:sz w:val="18"/>
                <w:szCs w:val="18"/>
              </w:rPr>
            </w:pPr>
            <w:bookmarkStart w:id="92" w:name="_heading=h.ti3fivymitzl" w:colFirst="0" w:colLast="0"/>
            <w:bookmarkEnd w:id="92"/>
            <w:r>
              <w:rPr>
                <w:rFonts w:ascii="Arial" w:eastAsia="Arial" w:hAnsi="Arial" w:cs="Arial"/>
                <w:sz w:val="18"/>
                <w:szCs w:val="18"/>
              </w:rPr>
              <w:t>12.7 Programa 22. Bogotá, una ciudad de puertas abiertas al mundo.</w:t>
            </w:r>
          </w:p>
          <w:p w:rsidR="00D35DC7" w:rsidRDefault="00982954">
            <w:pPr>
              <w:jc w:val="both"/>
              <w:rPr>
                <w:rFonts w:ascii="Arial" w:eastAsia="Arial" w:hAnsi="Arial" w:cs="Arial"/>
                <w:b/>
                <w:sz w:val="18"/>
                <w:szCs w:val="18"/>
              </w:rPr>
            </w:pPr>
            <w:bookmarkStart w:id="93" w:name="_heading=h.4vg6k8lzaw8x" w:colFirst="0" w:colLast="0"/>
            <w:bookmarkEnd w:id="93"/>
            <w:r>
              <w:rPr>
                <w:rFonts w:ascii="Arial" w:eastAsia="Arial" w:hAnsi="Arial" w:cs="Arial"/>
                <w:b/>
                <w:sz w:val="18"/>
                <w:szCs w:val="18"/>
              </w:rPr>
              <w:t>Artículo 14. Programas del Objetivo Estratégico “Bogotá ordena su territorio y avanza en su acción climática”.</w:t>
            </w:r>
          </w:p>
          <w:p w:rsidR="00D35DC7" w:rsidRDefault="00982954">
            <w:pPr>
              <w:jc w:val="both"/>
              <w:rPr>
                <w:rFonts w:ascii="Arial" w:eastAsia="Arial" w:hAnsi="Arial" w:cs="Arial"/>
                <w:sz w:val="18"/>
                <w:szCs w:val="18"/>
              </w:rPr>
            </w:pPr>
            <w:bookmarkStart w:id="94" w:name="_heading=h.tzrjswvxkdky" w:colFirst="0" w:colLast="0"/>
            <w:bookmarkEnd w:id="94"/>
            <w:r>
              <w:rPr>
                <w:rFonts w:ascii="Arial" w:eastAsia="Arial" w:hAnsi="Arial" w:cs="Arial"/>
                <w:sz w:val="18"/>
                <w:szCs w:val="18"/>
              </w:rPr>
              <w:t xml:space="preserve">14.1. Programa 23. Ordenamiento territorial sostenible, equilibrado y participativo. </w:t>
            </w:r>
          </w:p>
          <w:p w:rsidR="00D35DC7" w:rsidRDefault="00982954">
            <w:pPr>
              <w:jc w:val="both"/>
              <w:rPr>
                <w:rFonts w:ascii="Arial" w:eastAsia="Arial" w:hAnsi="Arial" w:cs="Arial"/>
                <w:sz w:val="18"/>
                <w:szCs w:val="18"/>
              </w:rPr>
            </w:pPr>
            <w:bookmarkStart w:id="95" w:name="_heading=h.kl1r3cdm3aqy" w:colFirst="0" w:colLast="0"/>
            <w:bookmarkEnd w:id="95"/>
            <w:r>
              <w:rPr>
                <w:rFonts w:ascii="Arial" w:eastAsia="Arial" w:hAnsi="Arial" w:cs="Arial"/>
                <w:sz w:val="18"/>
                <w:szCs w:val="18"/>
              </w:rPr>
              <w:t>14.2. Programa 24. Revitalización y renovación urbana y rural con inclusión.</w:t>
            </w:r>
          </w:p>
          <w:p w:rsidR="00D35DC7" w:rsidRDefault="00982954">
            <w:pPr>
              <w:jc w:val="both"/>
              <w:rPr>
                <w:rFonts w:ascii="Arial" w:eastAsia="Arial" w:hAnsi="Arial" w:cs="Arial"/>
                <w:sz w:val="18"/>
                <w:szCs w:val="18"/>
              </w:rPr>
            </w:pPr>
            <w:bookmarkStart w:id="96" w:name="_heading=h.fx0dabr5luxi" w:colFirst="0" w:colLast="0"/>
            <w:bookmarkEnd w:id="96"/>
            <w:r>
              <w:rPr>
                <w:rFonts w:ascii="Arial" w:eastAsia="Arial" w:hAnsi="Arial" w:cs="Arial"/>
                <w:sz w:val="18"/>
                <w:szCs w:val="18"/>
              </w:rPr>
              <w:t>14.3. Programa 25. Aumento de la resiliencia climática y reducción de la vulnerabilidad.</w:t>
            </w:r>
          </w:p>
          <w:p w:rsidR="00D35DC7" w:rsidRDefault="00982954">
            <w:pPr>
              <w:jc w:val="both"/>
              <w:rPr>
                <w:rFonts w:ascii="Arial" w:eastAsia="Arial" w:hAnsi="Arial" w:cs="Arial"/>
                <w:sz w:val="18"/>
                <w:szCs w:val="18"/>
              </w:rPr>
            </w:pPr>
            <w:bookmarkStart w:id="97" w:name="_heading=h.4gv39yo2pvtc" w:colFirst="0" w:colLast="0"/>
            <w:bookmarkEnd w:id="97"/>
            <w:r>
              <w:rPr>
                <w:rFonts w:ascii="Arial" w:eastAsia="Arial" w:hAnsi="Arial" w:cs="Arial"/>
                <w:sz w:val="18"/>
                <w:szCs w:val="18"/>
              </w:rPr>
              <w:t>14.4. Programa 26. Movilidad Sostenible.</w:t>
            </w:r>
          </w:p>
          <w:p w:rsidR="00D35DC7" w:rsidRDefault="00982954">
            <w:pPr>
              <w:jc w:val="both"/>
              <w:rPr>
                <w:rFonts w:ascii="Arial" w:eastAsia="Arial" w:hAnsi="Arial" w:cs="Arial"/>
                <w:sz w:val="18"/>
                <w:szCs w:val="18"/>
              </w:rPr>
            </w:pPr>
            <w:bookmarkStart w:id="98" w:name="_heading=h.igv2rzzfxves" w:colFirst="0" w:colLast="0"/>
            <w:bookmarkEnd w:id="98"/>
            <w:r>
              <w:rPr>
                <w:rFonts w:ascii="Arial" w:eastAsia="Arial" w:hAnsi="Arial" w:cs="Arial"/>
                <w:sz w:val="18"/>
                <w:szCs w:val="18"/>
              </w:rPr>
              <w:t xml:space="preserve">14.5. Programa 27. Gestión del riesgo de desastres para un territorio seguro. </w:t>
            </w:r>
          </w:p>
          <w:p w:rsidR="00D35DC7" w:rsidRDefault="00982954">
            <w:pPr>
              <w:jc w:val="both"/>
              <w:rPr>
                <w:rFonts w:ascii="Arial" w:eastAsia="Arial" w:hAnsi="Arial" w:cs="Arial"/>
                <w:sz w:val="18"/>
                <w:szCs w:val="18"/>
              </w:rPr>
            </w:pPr>
            <w:bookmarkStart w:id="99" w:name="_heading=h.c2zq9o2m7v4i" w:colFirst="0" w:colLast="0"/>
            <w:bookmarkEnd w:id="99"/>
            <w:r>
              <w:rPr>
                <w:rFonts w:ascii="Arial" w:eastAsia="Arial" w:hAnsi="Arial" w:cs="Arial"/>
                <w:sz w:val="18"/>
                <w:szCs w:val="18"/>
              </w:rPr>
              <w:t>14.6. Programa 28. Reducción de emisiones y control del deterioro ambiental.</w:t>
            </w:r>
          </w:p>
          <w:p w:rsidR="00D35DC7" w:rsidRDefault="00982954">
            <w:pPr>
              <w:jc w:val="both"/>
              <w:rPr>
                <w:rFonts w:ascii="Arial" w:eastAsia="Arial" w:hAnsi="Arial" w:cs="Arial"/>
                <w:sz w:val="18"/>
                <w:szCs w:val="18"/>
              </w:rPr>
            </w:pPr>
            <w:bookmarkStart w:id="100" w:name="_heading=h.a29wn17le8c0" w:colFirst="0" w:colLast="0"/>
            <w:bookmarkEnd w:id="100"/>
            <w:r>
              <w:rPr>
                <w:rFonts w:ascii="Arial" w:eastAsia="Arial" w:hAnsi="Arial" w:cs="Arial"/>
                <w:sz w:val="18"/>
                <w:szCs w:val="18"/>
              </w:rPr>
              <w:t>14.7. Programa 29. Servicios públicos inclusivos y sostenibles.</w:t>
            </w:r>
          </w:p>
          <w:p w:rsidR="00D35DC7" w:rsidRDefault="00982954">
            <w:pPr>
              <w:jc w:val="both"/>
              <w:rPr>
                <w:rFonts w:ascii="Arial" w:eastAsia="Arial" w:hAnsi="Arial" w:cs="Arial"/>
                <w:sz w:val="18"/>
                <w:szCs w:val="18"/>
              </w:rPr>
            </w:pPr>
            <w:bookmarkStart w:id="101" w:name="_heading=h.f1ravpoir5jd" w:colFirst="0" w:colLast="0"/>
            <w:bookmarkEnd w:id="101"/>
            <w:r>
              <w:rPr>
                <w:rFonts w:ascii="Arial" w:eastAsia="Arial" w:hAnsi="Arial" w:cs="Arial"/>
                <w:sz w:val="18"/>
                <w:szCs w:val="18"/>
              </w:rPr>
              <w:t>14.8. Programa 30. Atención del déficit social para un hábitat digno.</w:t>
            </w:r>
          </w:p>
          <w:p w:rsidR="00D35DC7" w:rsidRDefault="00982954">
            <w:pPr>
              <w:jc w:val="both"/>
              <w:rPr>
                <w:rFonts w:ascii="Arial" w:eastAsia="Arial" w:hAnsi="Arial" w:cs="Arial"/>
                <w:sz w:val="18"/>
                <w:szCs w:val="18"/>
              </w:rPr>
            </w:pPr>
            <w:bookmarkStart w:id="102" w:name="_heading=h.5usfimy7z028" w:colFirst="0" w:colLast="0"/>
            <w:bookmarkEnd w:id="102"/>
            <w:r>
              <w:rPr>
                <w:rFonts w:ascii="Arial" w:eastAsia="Arial" w:hAnsi="Arial" w:cs="Arial"/>
                <w:sz w:val="18"/>
                <w:szCs w:val="18"/>
              </w:rPr>
              <w:t>14.9. Programa 31. Acceso Equitativo de Vivienda Urbana y Rural.</w:t>
            </w:r>
          </w:p>
          <w:p w:rsidR="00D35DC7" w:rsidRDefault="00982954">
            <w:pPr>
              <w:jc w:val="both"/>
              <w:rPr>
                <w:rFonts w:ascii="Arial" w:eastAsia="Arial" w:hAnsi="Arial" w:cs="Arial"/>
                <w:b/>
                <w:sz w:val="18"/>
                <w:szCs w:val="18"/>
              </w:rPr>
            </w:pPr>
            <w:bookmarkStart w:id="103" w:name="_heading=h.ch1aa0bdzpe2" w:colFirst="0" w:colLast="0"/>
            <w:bookmarkEnd w:id="103"/>
            <w:r>
              <w:rPr>
                <w:rFonts w:ascii="Arial" w:eastAsia="Arial" w:hAnsi="Arial" w:cs="Arial"/>
                <w:b/>
                <w:sz w:val="18"/>
                <w:szCs w:val="18"/>
              </w:rPr>
              <w:t xml:space="preserve">Artículo 16. Programas del Objetivo Estratégico “Bogotá Confía en su Gobierno”. </w:t>
            </w:r>
          </w:p>
          <w:p w:rsidR="00D35DC7" w:rsidRDefault="00982954">
            <w:pPr>
              <w:jc w:val="both"/>
              <w:rPr>
                <w:rFonts w:ascii="Arial" w:eastAsia="Arial" w:hAnsi="Arial" w:cs="Arial"/>
                <w:sz w:val="18"/>
                <w:szCs w:val="18"/>
              </w:rPr>
            </w:pPr>
            <w:bookmarkStart w:id="104" w:name="_heading=h.cafp1wuyjl2h" w:colFirst="0" w:colLast="0"/>
            <w:bookmarkEnd w:id="104"/>
            <w:r>
              <w:rPr>
                <w:rFonts w:ascii="Arial" w:eastAsia="Arial" w:hAnsi="Arial" w:cs="Arial"/>
                <w:sz w:val="18"/>
                <w:szCs w:val="18"/>
              </w:rPr>
              <w:t>16.1. Programa 32. Gobierno íntegro, transparente y corresponsable.</w:t>
            </w:r>
          </w:p>
          <w:p w:rsidR="00D35DC7" w:rsidRDefault="00982954">
            <w:pPr>
              <w:jc w:val="both"/>
              <w:rPr>
                <w:rFonts w:ascii="Arial" w:eastAsia="Arial" w:hAnsi="Arial" w:cs="Arial"/>
                <w:sz w:val="18"/>
                <w:szCs w:val="18"/>
              </w:rPr>
            </w:pPr>
            <w:bookmarkStart w:id="105" w:name="_heading=h.8ng6f2uupxxy" w:colFirst="0" w:colLast="0"/>
            <w:bookmarkEnd w:id="105"/>
            <w:r>
              <w:rPr>
                <w:rFonts w:ascii="Arial" w:eastAsia="Arial" w:hAnsi="Arial" w:cs="Arial"/>
                <w:sz w:val="18"/>
                <w:szCs w:val="18"/>
              </w:rPr>
              <w:t>16.2. Programa 33. Fortalecimiento institucional para un Gobierno confiable.</w:t>
            </w:r>
          </w:p>
          <w:p w:rsidR="00D35DC7" w:rsidRDefault="00982954">
            <w:pPr>
              <w:jc w:val="both"/>
              <w:rPr>
                <w:rFonts w:ascii="Arial" w:eastAsia="Arial" w:hAnsi="Arial" w:cs="Arial"/>
                <w:sz w:val="18"/>
                <w:szCs w:val="18"/>
              </w:rPr>
            </w:pPr>
            <w:bookmarkStart w:id="106" w:name="_heading=h.njo8xoqqh4qg" w:colFirst="0" w:colLast="0"/>
            <w:bookmarkEnd w:id="106"/>
            <w:r>
              <w:rPr>
                <w:rFonts w:ascii="Arial" w:eastAsia="Arial" w:hAnsi="Arial" w:cs="Arial"/>
                <w:sz w:val="18"/>
                <w:szCs w:val="18"/>
              </w:rPr>
              <w:t>16.3. Programa 34. Talento humano unido por la ciudadanía.</w:t>
            </w:r>
          </w:p>
          <w:p w:rsidR="00D35DC7" w:rsidRDefault="00982954">
            <w:pPr>
              <w:jc w:val="both"/>
              <w:rPr>
                <w:rFonts w:ascii="Arial" w:eastAsia="Arial" w:hAnsi="Arial" w:cs="Arial"/>
                <w:sz w:val="18"/>
                <w:szCs w:val="18"/>
              </w:rPr>
            </w:pPr>
            <w:bookmarkStart w:id="107" w:name="_heading=h.xxhemy3ebprs" w:colFirst="0" w:colLast="0"/>
            <w:bookmarkEnd w:id="107"/>
            <w:r>
              <w:rPr>
                <w:rFonts w:ascii="Arial" w:eastAsia="Arial" w:hAnsi="Arial" w:cs="Arial"/>
                <w:sz w:val="18"/>
                <w:szCs w:val="18"/>
              </w:rPr>
              <w:t>16.4. Programa 35. Bogotá Ciudad Inteligente.</w:t>
            </w:r>
          </w:p>
          <w:p w:rsidR="00D35DC7" w:rsidRDefault="00982954">
            <w:pPr>
              <w:jc w:val="both"/>
              <w:rPr>
                <w:rFonts w:ascii="Arial" w:eastAsia="Arial" w:hAnsi="Arial" w:cs="Arial"/>
                <w:sz w:val="18"/>
                <w:szCs w:val="18"/>
              </w:rPr>
            </w:pPr>
            <w:bookmarkStart w:id="108" w:name="_heading=h.kdmvuh1uqlqt" w:colFirst="0" w:colLast="0"/>
            <w:bookmarkEnd w:id="108"/>
            <w:r>
              <w:rPr>
                <w:rFonts w:ascii="Arial" w:eastAsia="Arial" w:hAnsi="Arial" w:cs="Arial"/>
                <w:sz w:val="18"/>
                <w:szCs w:val="18"/>
              </w:rPr>
              <w:t>16.5. Programa 36. Innovación Pública para la generación de la confianza ciudadana.</w:t>
            </w:r>
          </w:p>
          <w:p w:rsidR="00D35DC7" w:rsidRDefault="00982954">
            <w:pPr>
              <w:jc w:val="both"/>
              <w:rPr>
                <w:rFonts w:ascii="Arial" w:eastAsia="Arial" w:hAnsi="Arial" w:cs="Arial"/>
                <w:sz w:val="18"/>
                <w:szCs w:val="18"/>
              </w:rPr>
            </w:pPr>
            <w:bookmarkStart w:id="109" w:name="_heading=h.952zh55ky73y" w:colFirst="0" w:colLast="0"/>
            <w:bookmarkEnd w:id="109"/>
            <w:r>
              <w:rPr>
                <w:rFonts w:ascii="Arial" w:eastAsia="Arial" w:hAnsi="Arial" w:cs="Arial"/>
                <w:sz w:val="18"/>
                <w:szCs w:val="18"/>
              </w:rPr>
              <w:t>16.6. Programa 37. Construyendo Confianza con la Región.</w:t>
            </w:r>
          </w:p>
          <w:p w:rsidR="00D35DC7" w:rsidRDefault="00982954">
            <w:pPr>
              <w:jc w:val="both"/>
              <w:rPr>
                <w:rFonts w:ascii="Arial" w:eastAsia="Arial" w:hAnsi="Arial" w:cs="Arial"/>
                <w:sz w:val="18"/>
                <w:szCs w:val="18"/>
              </w:rPr>
            </w:pPr>
            <w:bookmarkStart w:id="110" w:name="_heading=h.msjvnu52250f" w:colFirst="0" w:colLast="0"/>
            <w:bookmarkEnd w:id="110"/>
            <w:r>
              <w:rPr>
                <w:rFonts w:ascii="Arial" w:eastAsia="Arial" w:hAnsi="Arial" w:cs="Arial"/>
                <w:sz w:val="18"/>
                <w:szCs w:val="18"/>
              </w:rPr>
              <w:t xml:space="preserve">16.7. Programa 38. Gestión eficiente de los ingresos y gastos enfocados en la confianza ciudadana.  </w:t>
            </w:r>
          </w:p>
        </w:tc>
      </w:tr>
      <w:tr w:rsidR="00D35DC7">
        <w:tc>
          <w:tcPr>
            <w:tcW w:w="2580" w:type="dxa"/>
            <w:tcBorders>
              <w:right w:val="single" w:sz="8" w:space="0" w:color="000000"/>
            </w:tcBorders>
          </w:tcPr>
          <w:p w:rsidR="00D35DC7" w:rsidRDefault="00982954">
            <w:pPr>
              <w:jc w:val="both"/>
              <w:rPr>
                <w:rFonts w:ascii="Arial" w:eastAsia="Arial" w:hAnsi="Arial" w:cs="Arial"/>
                <w:sz w:val="18"/>
                <w:szCs w:val="18"/>
              </w:rPr>
            </w:pPr>
            <w:r>
              <w:rPr>
                <w:rFonts w:ascii="Arial" w:eastAsia="Arial" w:hAnsi="Arial" w:cs="Arial"/>
                <w:sz w:val="18"/>
                <w:szCs w:val="18"/>
              </w:rPr>
              <w:t>Cronograma de ejecución del Plan Distrital de Desarrollo y organismos responsables.</w:t>
            </w:r>
          </w:p>
          <w:p w:rsidR="00D35DC7" w:rsidRDefault="00D35DC7">
            <w:pPr>
              <w:jc w:val="both"/>
              <w:rPr>
                <w:rFonts w:ascii="Arial" w:eastAsia="Arial" w:hAnsi="Arial" w:cs="Arial"/>
                <w:sz w:val="18"/>
                <w:szCs w:val="18"/>
              </w:rPr>
            </w:pPr>
          </w:p>
        </w:tc>
        <w:tc>
          <w:tcPr>
            <w:tcW w:w="3405"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rsidR="00D35DC7" w:rsidRDefault="00982954">
            <w:pPr>
              <w:jc w:val="both"/>
              <w:rPr>
                <w:rFonts w:ascii="Arial" w:eastAsia="Arial" w:hAnsi="Arial" w:cs="Arial"/>
                <w:sz w:val="18"/>
                <w:szCs w:val="18"/>
              </w:rPr>
            </w:pPr>
            <w:r>
              <w:rPr>
                <w:rFonts w:ascii="Arial" w:eastAsia="Arial" w:hAnsi="Arial" w:cs="Arial"/>
                <w:sz w:val="18"/>
                <w:szCs w:val="18"/>
              </w:rPr>
              <w:t xml:space="preserve">Capítulo II. “Nuestra Estrategia”.  Plan Plurianual de Inversiones (página 62) </w:t>
            </w:r>
          </w:p>
          <w:p w:rsidR="00D35DC7" w:rsidRDefault="00982954">
            <w:pPr>
              <w:jc w:val="both"/>
              <w:rPr>
                <w:rFonts w:ascii="Arial" w:eastAsia="Arial" w:hAnsi="Arial" w:cs="Arial"/>
                <w:sz w:val="18"/>
                <w:szCs w:val="18"/>
              </w:rPr>
            </w:pPr>
            <w:bookmarkStart w:id="111" w:name="_heading=h.67sp5uq4epej" w:colFirst="0" w:colLast="0"/>
            <w:bookmarkEnd w:id="111"/>
            <w:r>
              <w:rPr>
                <w:rFonts w:ascii="Arial" w:eastAsia="Arial" w:hAnsi="Arial" w:cs="Arial"/>
                <w:sz w:val="18"/>
                <w:szCs w:val="18"/>
              </w:rPr>
              <w:t>Capítulo IV. Metas Estratégicas y de Producto (página 359 a 455)</w:t>
            </w:r>
          </w:p>
        </w:tc>
        <w:tc>
          <w:tcPr>
            <w:tcW w:w="3000"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rsidR="00D35DC7" w:rsidRDefault="00982954">
            <w:pPr>
              <w:jc w:val="both"/>
              <w:rPr>
                <w:rFonts w:ascii="Arial" w:eastAsia="Arial" w:hAnsi="Arial" w:cs="Arial"/>
                <w:sz w:val="18"/>
                <w:szCs w:val="18"/>
              </w:rPr>
            </w:pPr>
            <w:r>
              <w:rPr>
                <w:rFonts w:ascii="Arial" w:eastAsia="Arial" w:hAnsi="Arial" w:cs="Arial"/>
                <w:sz w:val="18"/>
                <w:szCs w:val="18"/>
              </w:rPr>
              <w:t>TÍTULO III CRONOGRAMA DE EJECUCIÓN DEL PLAN Artículo 121. Cronograma del Plan Distrital de Desarrollo 2024-2027 “Bogotá Camina Segura”. El cronograma de ejecución del Plan de Desarrollo Distrital corresponderá al flujo de recursos anuales previsto en el Plan Plurianual de Inversiones que se adopta en el presente Acuerdo y en las bases del plan que hacen parte integral del mismo. Los organismos responsables serán las entidades encargadas de los objetivos, programas y metas del Plan.</w:t>
            </w:r>
          </w:p>
        </w:tc>
      </w:tr>
      <w:tr w:rsidR="00D35DC7">
        <w:tc>
          <w:tcPr>
            <w:tcW w:w="2580" w:type="dxa"/>
            <w:tcBorders>
              <w:right w:val="single" w:sz="8" w:space="0" w:color="000000"/>
            </w:tcBorders>
          </w:tcPr>
          <w:p w:rsidR="00D35DC7" w:rsidRDefault="00982954">
            <w:pPr>
              <w:jc w:val="both"/>
              <w:rPr>
                <w:rFonts w:ascii="Arial" w:eastAsia="Arial" w:hAnsi="Arial" w:cs="Arial"/>
                <w:sz w:val="18"/>
                <w:szCs w:val="18"/>
              </w:rPr>
            </w:pPr>
            <w:r>
              <w:rPr>
                <w:rFonts w:ascii="Arial" w:eastAsia="Arial" w:hAnsi="Arial" w:cs="Arial"/>
                <w:sz w:val="18"/>
                <w:szCs w:val="18"/>
              </w:rPr>
              <w:t>Las metas e indicadores.</w:t>
            </w:r>
          </w:p>
        </w:tc>
        <w:tc>
          <w:tcPr>
            <w:tcW w:w="3405"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rsidR="00D35DC7" w:rsidRDefault="00982954">
            <w:pPr>
              <w:jc w:val="both"/>
              <w:rPr>
                <w:rFonts w:ascii="Arial" w:eastAsia="Arial" w:hAnsi="Arial" w:cs="Arial"/>
                <w:sz w:val="18"/>
                <w:szCs w:val="18"/>
              </w:rPr>
            </w:pPr>
            <w:r>
              <w:rPr>
                <w:rFonts w:ascii="Arial" w:eastAsia="Arial" w:hAnsi="Arial" w:cs="Arial"/>
                <w:sz w:val="18"/>
                <w:szCs w:val="18"/>
              </w:rPr>
              <w:t>Capítulo IV. Metas Estratégicas y de Producto (página 359 a 455)</w:t>
            </w:r>
          </w:p>
          <w:p w:rsidR="00D35DC7" w:rsidRDefault="00D35DC7">
            <w:pPr>
              <w:jc w:val="both"/>
              <w:rPr>
                <w:rFonts w:ascii="Arial" w:eastAsia="Arial" w:hAnsi="Arial" w:cs="Arial"/>
                <w:sz w:val="18"/>
                <w:szCs w:val="18"/>
              </w:rPr>
            </w:pPr>
            <w:bookmarkStart w:id="112" w:name="_heading=h.wax7cy53owva" w:colFirst="0" w:colLast="0"/>
            <w:bookmarkEnd w:id="112"/>
          </w:p>
        </w:tc>
        <w:tc>
          <w:tcPr>
            <w:tcW w:w="3000"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rsidR="00D35DC7" w:rsidRDefault="00982954">
            <w:pPr>
              <w:jc w:val="both"/>
              <w:rPr>
                <w:rFonts w:ascii="Arial" w:eastAsia="Arial" w:hAnsi="Arial" w:cs="Arial"/>
                <w:sz w:val="18"/>
                <w:szCs w:val="18"/>
              </w:rPr>
            </w:pPr>
            <w:r>
              <w:rPr>
                <w:rFonts w:ascii="Arial" w:eastAsia="Arial" w:hAnsi="Arial" w:cs="Arial"/>
                <w:sz w:val="18"/>
                <w:szCs w:val="18"/>
              </w:rPr>
              <w:t>TÍTULO IV METAS E INDICADORES Artículo 122. Metas e indicadores del Plan Distrital de Desarrollo. Las metas e indicadores de resultado del presente Plan se encuentran en el documento “Bases del Plan Distrital de Desarrollo 2024 - 2027 “Bogotá camina segura” y sus anexos, los cuales hacen parte integral del Acuerdo.</w:t>
            </w:r>
          </w:p>
        </w:tc>
      </w:tr>
      <w:tr w:rsidR="00D35DC7">
        <w:tc>
          <w:tcPr>
            <w:tcW w:w="2580" w:type="dxa"/>
            <w:tcBorders>
              <w:right w:val="single" w:sz="8" w:space="0" w:color="000000"/>
            </w:tcBorders>
          </w:tcPr>
          <w:p w:rsidR="00D35DC7" w:rsidRDefault="00982954">
            <w:pPr>
              <w:jc w:val="both"/>
              <w:rPr>
                <w:rFonts w:ascii="Arial" w:eastAsia="Arial" w:hAnsi="Arial" w:cs="Arial"/>
                <w:sz w:val="18"/>
                <w:szCs w:val="18"/>
              </w:rPr>
            </w:pPr>
            <w:r>
              <w:rPr>
                <w:rFonts w:ascii="Arial" w:eastAsia="Arial" w:hAnsi="Arial" w:cs="Arial"/>
                <w:sz w:val="18"/>
                <w:szCs w:val="18"/>
              </w:rPr>
              <w:t>El señalamiento de las normas, medio e instrumentos de coordinación de la planeación distrital con la planeación internacional, nacional, regional, departamental, local y sectorial.</w:t>
            </w:r>
          </w:p>
          <w:p w:rsidR="00D35DC7" w:rsidRDefault="00D35DC7">
            <w:pPr>
              <w:jc w:val="both"/>
              <w:rPr>
                <w:rFonts w:ascii="Arial" w:eastAsia="Arial" w:hAnsi="Arial" w:cs="Arial"/>
                <w:sz w:val="18"/>
                <w:szCs w:val="18"/>
              </w:rPr>
            </w:pPr>
          </w:p>
        </w:tc>
        <w:tc>
          <w:tcPr>
            <w:tcW w:w="3405"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rsidR="00D35DC7" w:rsidRDefault="00982954">
            <w:pPr>
              <w:jc w:val="both"/>
              <w:rPr>
                <w:rFonts w:ascii="Arial" w:eastAsia="Arial" w:hAnsi="Arial" w:cs="Arial"/>
                <w:sz w:val="18"/>
                <w:szCs w:val="18"/>
              </w:rPr>
            </w:pPr>
            <w:r>
              <w:rPr>
                <w:rFonts w:ascii="Arial" w:eastAsia="Arial" w:hAnsi="Arial" w:cs="Arial"/>
                <w:sz w:val="18"/>
                <w:szCs w:val="18"/>
              </w:rPr>
              <w:t>La coordinación del Plan Distrital de Desarrollo con otros instrumentos de planeación se encuentra se en:</w:t>
            </w:r>
          </w:p>
          <w:p w:rsidR="00D35DC7" w:rsidRDefault="00982954">
            <w:pPr>
              <w:jc w:val="both"/>
              <w:rPr>
                <w:rFonts w:ascii="Arial" w:eastAsia="Arial" w:hAnsi="Arial" w:cs="Arial"/>
                <w:sz w:val="18"/>
                <w:szCs w:val="18"/>
              </w:rPr>
            </w:pPr>
            <w:bookmarkStart w:id="113" w:name="_heading=h.uo3bawz76xbz" w:colFirst="0" w:colLast="0"/>
            <w:bookmarkEnd w:id="113"/>
            <w:r>
              <w:rPr>
                <w:rFonts w:ascii="Arial" w:eastAsia="Arial" w:hAnsi="Arial" w:cs="Arial"/>
                <w:sz w:val="18"/>
                <w:szCs w:val="18"/>
              </w:rPr>
              <w:t>Capítulo II “Nuestra Estrategia” El Plan de Desarrollo y los ODS (página 65 a 71)</w:t>
            </w:r>
          </w:p>
          <w:p w:rsidR="00D35DC7" w:rsidRDefault="00982954">
            <w:pPr>
              <w:jc w:val="both"/>
              <w:rPr>
                <w:rFonts w:ascii="Arial" w:eastAsia="Arial" w:hAnsi="Arial" w:cs="Arial"/>
                <w:sz w:val="18"/>
                <w:szCs w:val="18"/>
              </w:rPr>
            </w:pPr>
            <w:bookmarkStart w:id="114" w:name="_heading=h.3q9prvj4vx4e" w:colFirst="0" w:colLast="0"/>
            <w:bookmarkEnd w:id="114"/>
            <w:r>
              <w:rPr>
                <w:rFonts w:ascii="Arial" w:eastAsia="Arial" w:hAnsi="Arial" w:cs="Arial"/>
                <w:sz w:val="18"/>
                <w:szCs w:val="18"/>
              </w:rPr>
              <w:t>Capítulo V: El Plan y su relación con otros instrumentos de Planeación (páginas 457 a 533)</w:t>
            </w:r>
          </w:p>
        </w:tc>
        <w:tc>
          <w:tcPr>
            <w:tcW w:w="3000"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rsidR="00D35DC7" w:rsidRDefault="00982954">
            <w:pPr>
              <w:jc w:val="both"/>
              <w:rPr>
                <w:rFonts w:ascii="Arial" w:eastAsia="Arial" w:hAnsi="Arial" w:cs="Arial"/>
                <w:sz w:val="18"/>
                <w:szCs w:val="18"/>
              </w:rPr>
            </w:pPr>
            <w:r>
              <w:rPr>
                <w:rFonts w:ascii="Arial" w:eastAsia="Arial" w:hAnsi="Arial" w:cs="Arial"/>
                <w:sz w:val="18"/>
                <w:szCs w:val="18"/>
              </w:rPr>
              <w:t>PROYECTO DE ACUERDO Nº 368 DE 2024 PRIMER DEBATE</w:t>
            </w:r>
          </w:p>
          <w:p w:rsidR="00D35DC7" w:rsidRDefault="00982954">
            <w:pPr>
              <w:jc w:val="both"/>
              <w:rPr>
                <w:rFonts w:ascii="Arial" w:eastAsia="Arial" w:hAnsi="Arial" w:cs="Arial"/>
                <w:sz w:val="18"/>
                <w:szCs w:val="18"/>
              </w:rPr>
            </w:pPr>
            <w:r>
              <w:rPr>
                <w:rFonts w:ascii="Arial" w:eastAsia="Arial" w:hAnsi="Arial" w:cs="Arial"/>
                <w:sz w:val="18"/>
                <w:szCs w:val="18"/>
              </w:rPr>
              <w:t>“POR MEDIO DEL CUAL SE ADOPTA EL PLAN DE DESARROLLO ECONÓMICO, SOCIAL, AMBIENTAL Y DE OBRAS PÚBLICAS DEL DISTRITO CAPITAL 2024-2027 “BOGOTÁ CAMINA SEGURA” EXPOSICIÓN DE MOTIVOS (...)</w:t>
            </w:r>
          </w:p>
          <w:p w:rsidR="00D35DC7" w:rsidRDefault="00982954">
            <w:pPr>
              <w:jc w:val="both"/>
              <w:rPr>
                <w:rFonts w:ascii="Arial" w:eastAsia="Arial" w:hAnsi="Arial" w:cs="Arial"/>
                <w:sz w:val="18"/>
                <w:szCs w:val="18"/>
              </w:rPr>
            </w:pPr>
            <w:r>
              <w:rPr>
                <w:rFonts w:ascii="Arial" w:eastAsia="Arial" w:hAnsi="Arial" w:cs="Arial"/>
                <w:sz w:val="18"/>
                <w:szCs w:val="18"/>
              </w:rPr>
              <w:t>La parte estratégica general del Plan contendrá lo siguiente:...</w:t>
            </w:r>
          </w:p>
          <w:p w:rsidR="00D35DC7" w:rsidRDefault="00982954">
            <w:pPr>
              <w:jc w:val="both"/>
              <w:rPr>
                <w:rFonts w:ascii="Arial" w:eastAsia="Arial" w:hAnsi="Arial" w:cs="Arial"/>
                <w:sz w:val="18"/>
                <w:szCs w:val="18"/>
              </w:rPr>
            </w:pPr>
            <w:r>
              <w:rPr>
                <w:rFonts w:ascii="Arial" w:eastAsia="Arial" w:hAnsi="Arial" w:cs="Arial"/>
                <w:sz w:val="18"/>
                <w:szCs w:val="18"/>
              </w:rPr>
              <w:t>6. El señalamiento de las normas, medios e instrumentos de coordinación de la planeación distrital con la planeación internacional, nacional, regional, departamental, local y sectorial.</w:t>
            </w:r>
          </w:p>
          <w:p w:rsidR="00D35DC7" w:rsidRDefault="00982954">
            <w:pPr>
              <w:jc w:val="both"/>
              <w:rPr>
                <w:rFonts w:ascii="Arial" w:eastAsia="Arial" w:hAnsi="Arial" w:cs="Arial"/>
                <w:sz w:val="18"/>
                <w:szCs w:val="18"/>
              </w:rPr>
            </w:pPr>
            <w:r>
              <w:rPr>
                <w:rFonts w:ascii="Arial" w:eastAsia="Arial" w:hAnsi="Arial" w:cs="Arial"/>
                <w:sz w:val="18"/>
                <w:szCs w:val="18"/>
              </w:rPr>
              <w:t xml:space="preserve">Este punto está desarrollado en el documento Bases del Plan: Capítulo V: El Plan y su relación con otros instrumentos de Planeación (páginas 457 a 533) </w:t>
            </w:r>
          </w:p>
        </w:tc>
      </w:tr>
      <w:tr w:rsidR="00D35DC7">
        <w:tc>
          <w:tcPr>
            <w:tcW w:w="2580" w:type="dxa"/>
            <w:tcBorders>
              <w:right w:val="single" w:sz="8" w:space="0" w:color="000000"/>
            </w:tcBorders>
          </w:tcPr>
          <w:p w:rsidR="00D35DC7" w:rsidRDefault="00982954">
            <w:pPr>
              <w:jc w:val="both"/>
              <w:rPr>
                <w:rFonts w:ascii="Arial" w:eastAsia="Arial" w:hAnsi="Arial" w:cs="Arial"/>
                <w:color w:val="333333"/>
                <w:sz w:val="18"/>
                <w:szCs w:val="18"/>
              </w:rPr>
            </w:pPr>
            <w:r>
              <w:rPr>
                <w:rFonts w:ascii="Arial" w:eastAsia="Arial" w:hAnsi="Arial" w:cs="Arial"/>
                <w:color w:val="333333"/>
                <w:sz w:val="18"/>
                <w:szCs w:val="18"/>
              </w:rPr>
              <w:t>El Plan de inversiones. El plan de inversiones articula la parte estratégica general del plan con los recursos necesarios para su ejecución, y contendrá los presupuestos plurianuales de los proyectos prioritarios de inversión, la determinación de los recursos financieros que garanticen su ejecución y su estrategia financiera.</w:t>
            </w:r>
          </w:p>
          <w:p w:rsidR="00D35DC7" w:rsidRDefault="00D35DC7">
            <w:pPr>
              <w:jc w:val="both"/>
              <w:rPr>
                <w:rFonts w:ascii="Arial" w:eastAsia="Arial" w:hAnsi="Arial" w:cs="Arial"/>
                <w:color w:val="333333"/>
                <w:sz w:val="18"/>
                <w:szCs w:val="18"/>
              </w:rPr>
            </w:pPr>
          </w:p>
        </w:tc>
        <w:tc>
          <w:tcPr>
            <w:tcW w:w="3405"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rsidR="00D35DC7" w:rsidRDefault="00982954">
            <w:pPr>
              <w:jc w:val="both"/>
              <w:rPr>
                <w:rFonts w:ascii="Arial" w:eastAsia="Arial" w:hAnsi="Arial" w:cs="Arial"/>
                <w:sz w:val="18"/>
                <w:szCs w:val="18"/>
              </w:rPr>
            </w:pPr>
            <w:bookmarkStart w:id="115" w:name="_heading=h.xc3b5an3sjfv" w:colFirst="0" w:colLast="0"/>
            <w:bookmarkEnd w:id="115"/>
            <w:r>
              <w:rPr>
                <w:rFonts w:ascii="Arial" w:eastAsia="Arial" w:hAnsi="Arial" w:cs="Arial"/>
                <w:sz w:val="18"/>
                <w:szCs w:val="18"/>
              </w:rPr>
              <w:t>Capítulo II. “Nuestra Estrategia”.  Plan Plurianual de Inversiones (página 62)</w:t>
            </w:r>
          </w:p>
        </w:tc>
        <w:tc>
          <w:tcPr>
            <w:tcW w:w="3000"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rsidR="00D35DC7" w:rsidRDefault="00982954">
            <w:pPr>
              <w:jc w:val="both"/>
              <w:rPr>
                <w:rFonts w:ascii="Arial" w:eastAsia="Arial" w:hAnsi="Arial" w:cs="Arial"/>
                <w:sz w:val="18"/>
                <w:szCs w:val="18"/>
              </w:rPr>
            </w:pPr>
            <w:r>
              <w:rPr>
                <w:rFonts w:ascii="Arial" w:eastAsia="Arial" w:hAnsi="Arial" w:cs="Arial"/>
                <w:sz w:val="18"/>
                <w:szCs w:val="18"/>
              </w:rPr>
              <w:t>Artículo 123. Estructura del Plan Plurianual de Inversiones</w:t>
            </w:r>
          </w:p>
          <w:p w:rsidR="00D35DC7" w:rsidRDefault="00D35DC7">
            <w:pPr>
              <w:jc w:val="both"/>
              <w:rPr>
                <w:rFonts w:ascii="Arial" w:eastAsia="Arial" w:hAnsi="Arial" w:cs="Arial"/>
                <w:sz w:val="18"/>
                <w:szCs w:val="18"/>
              </w:rPr>
            </w:pPr>
          </w:p>
        </w:tc>
      </w:tr>
      <w:tr w:rsidR="00D35DC7">
        <w:tc>
          <w:tcPr>
            <w:tcW w:w="2580" w:type="dxa"/>
            <w:tcBorders>
              <w:right w:val="single" w:sz="8" w:space="0" w:color="000000"/>
            </w:tcBorders>
          </w:tcPr>
          <w:p w:rsidR="00D35DC7" w:rsidRDefault="00982954">
            <w:pPr>
              <w:jc w:val="both"/>
              <w:rPr>
                <w:rFonts w:ascii="Arial" w:eastAsia="Arial" w:hAnsi="Arial" w:cs="Arial"/>
                <w:color w:val="333333"/>
                <w:sz w:val="18"/>
                <w:szCs w:val="18"/>
              </w:rPr>
            </w:pPr>
            <w:r>
              <w:rPr>
                <w:rFonts w:ascii="Arial" w:eastAsia="Arial" w:hAnsi="Arial" w:cs="Arial"/>
                <w:color w:val="333333"/>
                <w:sz w:val="18"/>
                <w:szCs w:val="18"/>
              </w:rPr>
              <w:t>El programa de ejecución del plan de ordenamiento territorial, de acuerdo con lo definido en el correspondiente Plan Distrital de Desarrollo y según las normas, leyes y decretos que lo reglamenten y/ o modifiquen.</w:t>
            </w:r>
          </w:p>
          <w:p w:rsidR="00D35DC7" w:rsidRDefault="00D35DC7">
            <w:pPr>
              <w:jc w:val="both"/>
              <w:rPr>
                <w:rFonts w:ascii="Arial" w:eastAsia="Arial" w:hAnsi="Arial" w:cs="Arial"/>
                <w:color w:val="333333"/>
                <w:sz w:val="18"/>
                <w:szCs w:val="18"/>
              </w:rPr>
            </w:pPr>
          </w:p>
        </w:tc>
        <w:tc>
          <w:tcPr>
            <w:tcW w:w="3405"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rsidR="00D35DC7" w:rsidRDefault="00982954">
            <w:pPr>
              <w:jc w:val="both"/>
              <w:rPr>
                <w:rFonts w:ascii="Arial" w:eastAsia="Arial" w:hAnsi="Arial" w:cs="Arial"/>
                <w:sz w:val="18"/>
                <w:szCs w:val="18"/>
              </w:rPr>
            </w:pPr>
            <w:r>
              <w:rPr>
                <w:rFonts w:ascii="Arial" w:eastAsia="Arial" w:hAnsi="Arial" w:cs="Arial"/>
                <w:sz w:val="18"/>
                <w:szCs w:val="18"/>
              </w:rPr>
              <w:t>Capítulo V. El Plan y su relación con otros Instrumentos de Planeación (página 457)</w:t>
            </w:r>
          </w:p>
        </w:tc>
        <w:tc>
          <w:tcPr>
            <w:tcW w:w="3000"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rsidR="00D35DC7" w:rsidRDefault="00982954">
            <w:pPr>
              <w:jc w:val="both"/>
              <w:rPr>
                <w:rFonts w:ascii="Arial" w:eastAsia="Arial" w:hAnsi="Arial" w:cs="Arial"/>
                <w:sz w:val="18"/>
                <w:szCs w:val="18"/>
              </w:rPr>
            </w:pPr>
            <w:r>
              <w:rPr>
                <w:rFonts w:ascii="Arial" w:eastAsia="Arial" w:hAnsi="Arial" w:cs="Arial"/>
                <w:sz w:val="18"/>
                <w:szCs w:val="18"/>
              </w:rPr>
              <w:t>Artículo 156. Articulación del Plan Distrital de Desarrollo con el Plan de Ordenamiento Territorial.</w:t>
            </w:r>
          </w:p>
        </w:tc>
      </w:tr>
      <w:tr w:rsidR="00D35DC7">
        <w:tc>
          <w:tcPr>
            <w:tcW w:w="2580" w:type="dxa"/>
            <w:tcBorders>
              <w:right w:val="single" w:sz="8" w:space="0" w:color="000000"/>
            </w:tcBorders>
          </w:tcPr>
          <w:p w:rsidR="00D35DC7" w:rsidRDefault="00982954">
            <w:pPr>
              <w:jc w:val="both"/>
              <w:rPr>
                <w:rFonts w:ascii="Arial" w:eastAsia="Arial" w:hAnsi="Arial" w:cs="Arial"/>
                <w:color w:val="333333"/>
                <w:sz w:val="18"/>
                <w:szCs w:val="18"/>
              </w:rPr>
            </w:pPr>
            <w:r>
              <w:rPr>
                <w:rFonts w:ascii="Arial" w:eastAsia="Arial" w:hAnsi="Arial" w:cs="Arial"/>
                <w:color w:val="333333"/>
                <w:sz w:val="18"/>
                <w:szCs w:val="18"/>
              </w:rPr>
              <w:t>Dentro del programa de ejecución se definen las prioridades, la programación de actividades, las entidades responsables y los recursos respectivos, así como los programas y proyectos de infraestructura de transporte y servicios públicos domiciliarios y todos aquellos que se ejecutarán en el periodo correspondiente, en armonía con el programa de ejecución de obras de corto, mediano y largo plazo.</w:t>
            </w:r>
          </w:p>
          <w:p w:rsidR="00D35DC7" w:rsidRDefault="00D35DC7">
            <w:pPr>
              <w:jc w:val="both"/>
              <w:rPr>
                <w:rFonts w:ascii="Arial" w:eastAsia="Arial" w:hAnsi="Arial" w:cs="Arial"/>
                <w:color w:val="333333"/>
                <w:sz w:val="18"/>
                <w:szCs w:val="18"/>
              </w:rPr>
            </w:pPr>
          </w:p>
        </w:tc>
        <w:tc>
          <w:tcPr>
            <w:tcW w:w="3405"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rsidR="00D35DC7" w:rsidRDefault="00982954">
            <w:pPr>
              <w:jc w:val="both"/>
              <w:rPr>
                <w:rFonts w:ascii="Arial" w:eastAsia="Arial" w:hAnsi="Arial" w:cs="Arial"/>
                <w:sz w:val="18"/>
                <w:szCs w:val="18"/>
              </w:rPr>
            </w:pPr>
            <w:bookmarkStart w:id="116" w:name="_heading=h.gjdgxs" w:colFirst="0" w:colLast="0"/>
            <w:bookmarkEnd w:id="116"/>
            <w:r>
              <w:rPr>
                <w:rFonts w:ascii="Arial" w:eastAsia="Arial" w:hAnsi="Arial" w:cs="Arial"/>
                <w:sz w:val="18"/>
                <w:szCs w:val="18"/>
              </w:rPr>
              <w:t>Programa 26: Movilidad sostenible (página 251 a 254)</w:t>
            </w:r>
          </w:p>
        </w:tc>
        <w:tc>
          <w:tcPr>
            <w:tcW w:w="3000"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rsidR="00D35DC7" w:rsidRDefault="00982954">
            <w:pPr>
              <w:jc w:val="both"/>
              <w:rPr>
                <w:rFonts w:ascii="Arial" w:eastAsia="Arial" w:hAnsi="Arial" w:cs="Arial"/>
                <w:sz w:val="18"/>
                <w:szCs w:val="18"/>
              </w:rPr>
            </w:pPr>
            <w:r>
              <w:rPr>
                <w:rFonts w:ascii="Arial" w:eastAsia="Arial" w:hAnsi="Arial" w:cs="Arial"/>
                <w:sz w:val="18"/>
                <w:szCs w:val="18"/>
              </w:rPr>
              <w:t>Artículo 157. Proyectos de infraestructura de movilidad del Plan Distrital de Desarrollo</w:t>
            </w:r>
          </w:p>
        </w:tc>
      </w:tr>
    </w:tbl>
    <w:p w:rsidR="00D35DC7" w:rsidRDefault="00D35DC7">
      <w:pPr>
        <w:shd w:val="clear" w:color="auto" w:fill="FFFFFF"/>
        <w:spacing w:before="240" w:after="240"/>
        <w:jc w:val="center"/>
        <w:rPr>
          <w:rFonts w:ascii="Arial" w:eastAsia="Arial" w:hAnsi="Arial" w:cs="Arial"/>
          <w:color w:val="333333"/>
        </w:rPr>
      </w:pPr>
    </w:p>
    <w:p w:rsidR="00D35DC7" w:rsidRDefault="00982954">
      <w:pPr>
        <w:shd w:val="clear" w:color="auto" w:fill="FFFFFF"/>
        <w:spacing w:before="240" w:after="240"/>
        <w:jc w:val="center"/>
        <w:rPr>
          <w:rFonts w:ascii="Arial" w:eastAsia="Arial" w:hAnsi="Arial" w:cs="Arial"/>
        </w:rPr>
      </w:pPr>
      <w:r>
        <w:rPr>
          <w:rFonts w:ascii="Arial" w:eastAsia="Arial" w:hAnsi="Arial" w:cs="Arial"/>
          <w:b/>
        </w:rPr>
        <w:t>9</w:t>
      </w:r>
      <w:r>
        <w:rPr>
          <w:rFonts w:ascii="Arial" w:eastAsia="Arial" w:hAnsi="Arial" w:cs="Arial"/>
        </w:rPr>
        <w:t>.</w:t>
      </w:r>
      <w:r>
        <w:t xml:space="preserve">  </w:t>
      </w:r>
      <w:r>
        <w:rPr>
          <w:rFonts w:ascii="Arial" w:eastAsia="Arial" w:hAnsi="Arial" w:cs="Arial"/>
          <w:b/>
        </w:rPr>
        <w:t>COMPETENCIA DEL CONCEJO DE BOGOTÁ</w:t>
      </w:r>
    </w:p>
    <w:p w:rsidR="00D35DC7" w:rsidRDefault="00982954">
      <w:pPr>
        <w:shd w:val="clear" w:color="auto" w:fill="FFFFFF"/>
        <w:spacing w:line="360" w:lineRule="auto"/>
        <w:jc w:val="both"/>
        <w:rPr>
          <w:rFonts w:ascii="Arial" w:eastAsia="Arial" w:hAnsi="Arial" w:cs="Arial"/>
        </w:rPr>
      </w:pPr>
      <w:r>
        <w:rPr>
          <w:rFonts w:ascii="Arial" w:eastAsia="Arial" w:hAnsi="Arial" w:cs="Arial"/>
        </w:rPr>
        <w:t>El concejo de Bogotá es competente para tramitar la presente iniciativa proyecto de acuerdo 368 de 2024, “Por medio del cual se adopta el plan de desarrollo económico, social, ambiental y de obras públicas del distrito capital 2024-2027 Bogotá camina segura”, de conformidad con la siguiente normatividad.</w:t>
      </w:r>
    </w:p>
    <w:p w:rsidR="00D35DC7" w:rsidRDefault="00D35DC7">
      <w:pPr>
        <w:shd w:val="clear" w:color="auto" w:fill="FFFFFF"/>
        <w:spacing w:line="360" w:lineRule="auto"/>
        <w:jc w:val="both"/>
        <w:rPr>
          <w:rFonts w:ascii="Arial" w:eastAsia="Arial" w:hAnsi="Arial" w:cs="Arial"/>
        </w:rPr>
      </w:pPr>
    </w:p>
    <w:p w:rsidR="00D35DC7" w:rsidRDefault="00D35DC7">
      <w:pPr>
        <w:shd w:val="clear" w:color="auto" w:fill="FFFFFF"/>
        <w:spacing w:line="360" w:lineRule="auto"/>
        <w:jc w:val="both"/>
        <w:rPr>
          <w:rFonts w:ascii="Arial" w:eastAsia="Arial" w:hAnsi="Arial" w:cs="Arial"/>
        </w:rPr>
      </w:pPr>
    </w:p>
    <w:p w:rsidR="00D35DC7" w:rsidRDefault="00982954">
      <w:pPr>
        <w:shd w:val="clear" w:color="auto" w:fill="FFFFFF"/>
        <w:spacing w:line="360" w:lineRule="auto"/>
        <w:jc w:val="both"/>
        <w:rPr>
          <w:rFonts w:ascii="Arial" w:eastAsia="Arial" w:hAnsi="Arial" w:cs="Arial"/>
          <w:b/>
        </w:rPr>
      </w:pPr>
      <w:r>
        <w:rPr>
          <w:rFonts w:ascii="Arial" w:eastAsia="Arial" w:hAnsi="Arial" w:cs="Arial"/>
          <w:b/>
        </w:rPr>
        <w:t>9.1 Constitución Política de Colombia</w:t>
      </w:r>
    </w:p>
    <w:p w:rsidR="00D35DC7" w:rsidRDefault="00D35DC7">
      <w:pPr>
        <w:shd w:val="clear" w:color="auto" w:fill="FFFFFF"/>
        <w:spacing w:line="360" w:lineRule="auto"/>
        <w:jc w:val="both"/>
        <w:rPr>
          <w:rFonts w:ascii="Arial" w:eastAsia="Arial" w:hAnsi="Arial" w:cs="Arial"/>
        </w:rPr>
      </w:pPr>
    </w:p>
    <w:p w:rsidR="00D35DC7" w:rsidRDefault="00982954">
      <w:pPr>
        <w:shd w:val="clear" w:color="auto" w:fill="FFFFFF"/>
        <w:spacing w:line="360" w:lineRule="auto"/>
        <w:jc w:val="both"/>
        <w:rPr>
          <w:rFonts w:ascii="Arial" w:eastAsia="Arial" w:hAnsi="Arial" w:cs="Arial"/>
        </w:rPr>
      </w:pPr>
      <w:r>
        <w:rPr>
          <w:rFonts w:ascii="Arial" w:eastAsia="Arial" w:hAnsi="Arial" w:cs="Arial"/>
        </w:rPr>
        <w:t>Artículo  313. Corresponde a los concejos:</w:t>
      </w:r>
    </w:p>
    <w:p w:rsidR="00D35DC7" w:rsidRDefault="00982954">
      <w:pPr>
        <w:shd w:val="clear" w:color="auto" w:fill="FFFFFF"/>
        <w:spacing w:line="360" w:lineRule="auto"/>
        <w:jc w:val="both"/>
        <w:rPr>
          <w:rFonts w:ascii="Arial" w:eastAsia="Arial" w:hAnsi="Arial" w:cs="Arial"/>
        </w:rPr>
      </w:pPr>
      <w:r>
        <w:rPr>
          <w:rFonts w:ascii="Arial" w:eastAsia="Arial" w:hAnsi="Arial" w:cs="Arial"/>
        </w:rPr>
        <w:t>1. (...).</w:t>
      </w:r>
    </w:p>
    <w:p w:rsidR="00D35DC7" w:rsidRDefault="00982954">
      <w:pPr>
        <w:shd w:val="clear" w:color="auto" w:fill="FFFFFF"/>
        <w:spacing w:line="360" w:lineRule="auto"/>
        <w:jc w:val="both"/>
        <w:rPr>
          <w:rFonts w:ascii="Arial" w:eastAsia="Arial" w:hAnsi="Arial" w:cs="Arial"/>
        </w:rPr>
      </w:pPr>
      <w:r>
        <w:rPr>
          <w:rFonts w:ascii="Arial" w:eastAsia="Arial" w:hAnsi="Arial" w:cs="Arial"/>
        </w:rPr>
        <w:t>2. Adoptar los correspondientes planes y programas de desarrollo económico y social y de obras públicas.</w:t>
      </w:r>
    </w:p>
    <w:p w:rsidR="00D35DC7" w:rsidRDefault="00D35DC7">
      <w:pPr>
        <w:shd w:val="clear" w:color="auto" w:fill="FFFFFF"/>
        <w:spacing w:line="360" w:lineRule="auto"/>
        <w:jc w:val="both"/>
        <w:rPr>
          <w:rFonts w:ascii="Arial" w:eastAsia="Arial" w:hAnsi="Arial" w:cs="Arial"/>
        </w:rPr>
      </w:pPr>
    </w:p>
    <w:p w:rsidR="00D35DC7" w:rsidRDefault="00982954">
      <w:pPr>
        <w:shd w:val="clear" w:color="auto" w:fill="FFFFFF"/>
        <w:spacing w:line="360" w:lineRule="auto"/>
        <w:jc w:val="both"/>
        <w:rPr>
          <w:rFonts w:ascii="Arial" w:eastAsia="Arial" w:hAnsi="Arial" w:cs="Arial"/>
          <w:b/>
        </w:rPr>
      </w:pPr>
      <w:r>
        <w:rPr>
          <w:rFonts w:ascii="Arial" w:eastAsia="Arial" w:hAnsi="Arial" w:cs="Arial"/>
          <w:b/>
        </w:rPr>
        <w:t>9.2 Normas del Orden Nacional</w:t>
      </w:r>
    </w:p>
    <w:p w:rsidR="00D35DC7" w:rsidRDefault="00D35DC7">
      <w:pPr>
        <w:shd w:val="clear" w:color="auto" w:fill="FFFFFF"/>
        <w:spacing w:line="360" w:lineRule="auto"/>
        <w:jc w:val="both"/>
        <w:rPr>
          <w:rFonts w:ascii="Arial" w:eastAsia="Arial" w:hAnsi="Arial" w:cs="Arial"/>
        </w:rPr>
      </w:pPr>
    </w:p>
    <w:p w:rsidR="00D35DC7" w:rsidRDefault="00982954">
      <w:pPr>
        <w:shd w:val="clear" w:color="auto" w:fill="FFFFFF"/>
        <w:spacing w:line="360" w:lineRule="auto"/>
        <w:jc w:val="both"/>
        <w:rPr>
          <w:rFonts w:ascii="Arial" w:eastAsia="Arial" w:hAnsi="Arial" w:cs="Arial"/>
        </w:rPr>
      </w:pPr>
      <w:r>
        <w:rPr>
          <w:rFonts w:ascii="Arial" w:eastAsia="Arial" w:hAnsi="Arial" w:cs="Arial"/>
        </w:rPr>
        <w:t>-. DECRETO LEY 1421 DE 1993; Estatuto Orgánico de Bogotá D.C. el Concejo de Bogotá D.C. es competente para:</w:t>
      </w:r>
    </w:p>
    <w:p w:rsidR="00D35DC7" w:rsidRDefault="00D35DC7">
      <w:pPr>
        <w:shd w:val="clear" w:color="auto" w:fill="FFFFFF"/>
        <w:spacing w:line="360" w:lineRule="auto"/>
        <w:jc w:val="both"/>
        <w:rPr>
          <w:rFonts w:ascii="Arial" w:eastAsia="Arial" w:hAnsi="Arial" w:cs="Arial"/>
        </w:rPr>
      </w:pPr>
    </w:p>
    <w:p w:rsidR="00D35DC7" w:rsidRDefault="00982954">
      <w:pPr>
        <w:shd w:val="clear" w:color="auto" w:fill="FFFFFF"/>
        <w:spacing w:line="360" w:lineRule="auto"/>
        <w:jc w:val="both"/>
        <w:rPr>
          <w:rFonts w:ascii="Arial" w:eastAsia="Arial" w:hAnsi="Arial" w:cs="Arial"/>
        </w:rPr>
      </w:pPr>
      <w:r>
        <w:rPr>
          <w:rFonts w:ascii="Arial" w:eastAsia="Arial" w:hAnsi="Arial" w:cs="Arial"/>
        </w:rPr>
        <w:t>Artículo. 12. Atribuciones. Corresponde al Concejo Distrital, de conformidad con la Constitución y a la ley:</w:t>
      </w:r>
    </w:p>
    <w:p w:rsidR="00D35DC7" w:rsidRDefault="00982954">
      <w:pPr>
        <w:pBdr>
          <w:top w:val="nil"/>
          <w:left w:val="nil"/>
          <w:bottom w:val="nil"/>
          <w:right w:val="nil"/>
          <w:between w:val="nil"/>
        </w:pBdr>
        <w:shd w:val="clear" w:color="auto" w:fill="FFFFFF"/>
        <w:spacing w:before="150"/>
        <w:jc w:val="both"/>
        <w:rPr>
          <w:rFonts w:ascii="Arial" w:eastAsia="Arial" w:hAnsi="Arial" w:cs="Arial"/>
        </w:rPr>
      </w:pPr>
      <w:r>
        <w:rPr>
          <w:rFonts w:ascii="Arial" w:eastAsia="Arial" w:hAnsi="Arial" w:cs="Arial"/>
        </w:rPr>
        <w:t>1.(…).</w:t>
      </w:r>
    </w:p>
    <w:p w:rsidR="00D35DC7" w:rsidRDefault="00D35DC7">
      <w:pPr>
        <w:shd w:val="clear" w:color="auto" w:fill="FFFFFF"/>
        <w:spacing w:line="360" w:lineRule="auto"/>
        <w:jc w:val="both"/>
        <w:rPr>
          <w:rFonts w:ascii="Arial" w:eastAsia="Arial" w:hAnsi="Arial" w:cs="Arial"/>
        </w:rPr>
      </w:pPr>
    </w:p>
    <w:p w:rsidR="00D35DC7" w:rsidRDefault="00982954">
      <w:pPr>
        <w:shd w:val="clear" w:color="auto" w:fill="FFFFFF"/>
        <w:spacing w:line="360" w:lineRule="auto"/>
        <w:jc w:val="both"/>
        <w:rPr>
          <w:rFonts w:ascii="Arial" w:eastAsia="Arial" w:hAnsi="Arial" w:cs="Arial"/>
        </w:rPr>
      </w:pPr>
      <w:r>
        <w:rPr>
          <w:rFonts w:ascii="Arial" w:eastAsia="Arial" w:hAnsi="Arial" w:cs="Arial"/>
          <w:color w:val="333333"/>
          <w:sz w:val="25"/>
          <w:szCs w:val="25"/>
          <w:highlight w:val="white"/>
        </w:rPr>
        <w:t>2. Adoptar el Plan General de Desarrollo Económico y Social y de Obras Públicas. El plan de inversiones, que hace parte del Plan General de Desarrollo, contendrá los presupuestos plurianuales de los principales programas y proyectos y la determinación de los recursos financieros requeridos para su ejecución.</w:t>
      </w:r>
    </w:p>
    <w:p w:rsidR="00D35DC7" w:rsidRDefault="00D35DC7">
      <w:pPr>
        <w:shd w:val="clear" w:color="auto" w:fill="FFFFFF"/>
        <w:spacing w:line="360" w:lineRule="auto"/>
        <w:jc w:val="both"/>
        <w:rPr>
          <w:rFonts w:ascii="Arial" w:eastAsia="Arial" w:hAnsi="Arial" w:cs="Arial"/>
        </w:rPr>
      </w:pPr>
    </w:p>
    <w:p w:rsidR="00D35DC7" w:rsidRDefault="00982954">
      <w:pPr>
        <w:shd w:val="clear" w:color="auto" w:fill="FFFFFF"/>
        <w:spacing w:line="360" w:lineRule="auto"/>
        <w:jc w:val="both"/>
        <w:rPr>
          <w:rFonts w:ascii="Arial" w:eastAsia="Arial" w:hAnsi="Arial" w:cs="Arial"/>
          <w:color w:val="333333"/>
          <w:sz w:val="25"/>
          <w:szCs w:val="25"/>
        </w:rPr>
      </w:pPr>
      <w:r>
        <w:rPr>
          <w:rFonts w:ascii="Arial" w:eastAsia="Arial" w:hAnsi="Arial" w:cs="Arial"/>
        </w:rPr>
        <w:t xml:space="preserve">Artículo 13. </w:t>
      </w:r>
      <w:r>
        <w:rPr>
          <w:rFonts w:ascii="Arial" w:eastAsia="Arial" w:hAnsi="Arial" w:cs="Arial"/>
          <w:i/>
          <w:color w:val="333333"/>
          <w:sz w:val="25"/>
          <w:szCs w:val="25"/>
        </w:rPr>
        <w:t>Iniciativa</w:t>
      </w:r>
      <w:r>
        <w:rPr>
          <w:rFonts w:ascii="Arial" w:eastAsia="Arial" w:hAnsi="Arial" w:cs="Arial"/>
          <w:color w:val="333333"/>
          <w:sz w:val="25"/>
          <w:szCs w:val="25"/>
        </w:rPr>
        <w:t>. Los proyectos de acuerdo pueden ser presentados por los concejales y el alcalde mayor por conducto de sus secretarios, jefes de departamento administrativo o representantes legales de las entidades descentralizadas. El personero, el contralor y las juntas administradoras los pueden presentar en materias relacionadas con sus atribuciones. De conformidad con la respectiva ley estatutaria, los ciudadanos y las organizaciones sociales podrán presentar proyectos de acuerdo sobre temas de interés comunitario.</w:t>
      </w:r>
    </w:p>
    <w:p w:rsidR="00D35DC7" w:rsidRDefault="00982954">
      <w:pPr>
        <w:shd w:val="clear" w:color="auto" w:fill="FFFFFF"/>
        <w:spacing w:before="240" w:after="240" w:line="360" w:lineRule="auto"/>
        <w:jc w:val="both"/>
        <w:rPr>
          <w:rFonts w:ascii="Arial" w:eastAsia="Arial" w:hAnsi="Arial" w:cs="Arial"/>
          <w:color w:val="333333"/>
          <w:sz w:val="25"/>
          <w:szCs w:val="25"/>
        </w:rPr>
      </w:pPr>
      <w:r>
        <w:rPr>
          <w:rFonts w:ascii="Arial" w:eastAsia="Arial" w:hAnsi="Arial" w:cs="Arial"/>
          <w:color w:val="333333"/>
          <w:sz w:val="25"/>
          <w:szCs w:val="25"/>
        </w:rPr>
        <w:t>Sólo podrán ser dictados o reformados a iniciativa del alcalde los acuerdos a que se refieren los ordinales 2º, 3º, 4º, 5º, 8º, 9º, 14, 16, 17 y 21 del artículo anterior. Igualmente, sólo podrán ser dictados o reformados a iniciativa del alcalde los acuerdos que decreten inversiones, ordenen servicios a cargo del Distrito, autoricen enajenar sus bienes y dispongan exenciones tributarias o cedan sus rentas. El Concejo podrá introducir modificaciones a los proyectos presentados por el Alcalde.</w:t>
      </w:r>
    </w:p>
    <w:p w:rsidR="00D35DC7" w:rsidRDefault="00982954">
      <w:pPr>
        <w:shd w:val="clear" w:color="auto" w:fill="FFFFFF"/>
        <w:spacing w:line="360" w:lineRule="auto"/>
        <w:jc w:val="both"/>
        <w:rPr>
          <w:rFonts w:ascii="Arial" w:eastAsia="Arial" w:hAnsi="Arial" w:cs="Arial"/>
        </w:rPr>
      </w:pPr>
      <w:r>
        <w:rPr>
          <w:rFonts w:ascii="Arial" w:eastAsia="Arial" w:hAnsi="Arial" w:cs="Arial"/>
        </w:rPr>
        <w:t xml:space="preserve">-. LEY 152 DE 1994. </w:t>
      </w:r>
      <w:r>
        <w:rPr>
          <w:rFonts w:ascii="Arial" w:eastAsia="Arial" w:hAnsi="Arial" w:cs="Arial"/>
          <w:color w:val="333333"/>
          <w:sz w:val="25"/>
          <w:szCs w:val="25"/>
          <w:highlight w:val="white"/>
        </w:rPr>
        <w:t>Por la cual se establece la Ley Orgánica del Plan de Desarrollo.</w:t>
      </w:r>
    </w:p>
    <w:p w:rsidR="00D35DC7" w:rsidRDefault="00D35DC7">
      <w:pPr>
        <w:shd w:val="clear" w:color="auto" w:fill="FFFFFF"/>
        <w:spacing w:line="360" w:lineRule="auto"/>
        <w:jc w:val="both"/>
        <w:rPr>
          <w:rFonts w:ascii="Arial" w:eastAsia="Arial" w:hAnsi="Arial" w:cs="Arial"/>
          <w:color w:val="333333"/>
          <w:sz w:val="25"/>
          <w:szCs w:val="25"/>
          <w:highlight w:val="white"/>
        </w:rPr>
      </w:pPr>
    </w:p>
    <w:p w:rsidR="00D35DC7" w:rsidRDefault="00982954">
      <w:pPr>
        <w:shd w:val="clear" w:color="auto" w:fill="FFFFFF"/>
        <w:spacing w:line="360" w:lineRule="auto"/>
        <w:jc w:val="both"/>
        <w:rPr>
          <w:rFonts w:ascii="Arial" w:eastAsia="Arial" w:hAnsi="Arial" w:cs="Arial"/>
          <w:color w:val="333333"/>
          <w:sz w:val="25"/>
          <w:szCs w:val="25"/>
          <w:highlight w:val="white"/>
        </w:rPr>
      </w:pPr>
      <w:r>
        <w:rPr>
          <w:rFonts w:ascii="Arial" w:eastAsia="Arial" w:hAnsi="Arial" w:cs="Arial"/>
          <w:color w:val="333333"/>
          <w:sz w:val="25"/>
          <w:szCs w:val="25"/>
          <w:highlight w:val="white"/>
        </w:rPr>
        <w:t xml:space="preserve">Artículo 1. </w:t>
      </w:r>
      <w:r>
        <w:rPr>
          <w:rFonts w:ascii="Arial" w:eastAsia="Arial" w:hAnsi="Arial" w:cs="Arial"/>
          <w:i/>
          <w:color w:val="333333"/>
          <w:sz w:val="25"/>
          <w:szCs w:val="25"/>
          <w:highlight w:val="white"/>
        </w:rPr>
        <w:t>Propósitos.</w:t>
      </w:r>
      <w:r>
        <w:rPr>
          <w:rFonts w:ascii="Arial" w:eastAsia="Arial" w:hAnsi="Arial" w:cs="Arial"/>
          <w:color w:val="333333"/>
          <w:sz w:val="25"/>
          <w:szCs w:val="25"/>
          <w:highlight w:val="white"/>
        </w:rPr>
        <w:t xml:space="preserve"> La presente Ley tiene como propósito establecer los procedimientos y mecanismos para la elaboración, aprobación, ejecución, seguimiento, evaluación y control de los planes de desarrollo, así como la regulación de los demás aspectos contemplados por el artículo 342, y en general por el artículo 2 del Título XII de la constitución Política y demás normas constitucionales que se refieren al plan de desarrollo y la planificación.</w:t>
      </w:r>
    </w:p>
    <w:p w:rsidR="00D35DC7" w:rsidRDefault="00D35DC7">
      <w:pPr>
        <w:shd w:val="clear" w:color="auto" w:fill="FFFFFF"/>
        <w:spacing w:line="360" w:lineRule="auto"/>
        <w:jc w:val="both"/>
        <w:rPr>
          <w:rFonts w:ascii="Arial" w:eastAsia="Arial" w:hAnsi="Arial" w:cs="Arial"/>
          <w:color w:val="333333"/>
          <w:sz w:val="25"/>
          <w:szCs w:val="25"/>
          <w:highlight w:val="white"/>
        </w:rPr>
      </w:pPr>
    </w:p>
    <w:p w:rsidR="00D35DC7" w:rsidRDefault="00982954">
      <w:pPr>
        <w:shd w:val="clear" w:color="auto" w:fill="FFFFFF"/>
        <w:spacing w:line="360" w:lineRule="auto"/>
        <w:jc w:val="both"/>
        <w:rPr>
          <w:rFonts w:ascii="Arial" w:eastAsia="Arial" w:hAnsi="Arial" w:cs="Arial"/>
          <w:color w:val="333333"/>
          <w:sz w:val="25"/>
          <w:szCs w:val="25"/>
          <w:highlight w:val="white"/>
        </w:rPr>
      </w:pPr>
      <w:r>
        <w:rPr>
          <w:rFonts w:ascii="Arial" w:eastAsia="Arial" w:hAnsi="Arial" w:cs="Arial"/>
          <w:color w:val="333333"/>
          <w:sz w:val="25"/>
          <w:szCs w:val="25"/>
          <w:highlight w:val="white"/>
        </w:rPr>
        <w:t xml:space="preserve">Artículo 2. </w:t>
      </w:r>
      <w:r>
        <w:rPr>
          <w:rFonts w:ascii="Arial" w:eastAsia="Arial" w:hAnsi="Arial" w:cs="Arial"/>
          <w:i/>
          <w:color w:val="333333"/>
          <w:sz w:val="25"/>
          <w:szCs w:val="25"/>
          <w:highlight w:val="white"/>
        </w:rPr>
        <w:t>Ámbito de aplicación.</w:t>
      </w:r>
      <w:r>
        <w:rPr>
          <w:rFonts w:ascii="Arial" w:eastAsia="Arial" w:hAnsi="Arial" w:cs="Arial"/>
          <w:color w:val="333333"/>
          <w:sz w:val="25"/>
          <w:szCs w:val="25"/>
          <w:highlight w:val="white"/>
        </w:rPr>
        <w:t xml:space="preserve"> La Ley Orgánica del Plan de Desarrollo se aplicará a la Nación, las entidades territoriales y los organismos públicos de todo orden.</w:t>
      </w:r>
    </w:p>
    <w:p w:rsidR="00D35DC7" w:rsidRDefault="00982954">
      <w:pPr>
        <w:shd w:val="clear" w:color="auto" w:fill="FFFFFF"/>
        <w:spacing w:before="240" w:after="240" w:line="360" w:lineRule="auto"/>
        <w:jc w:val="both"/>
        <w:rPr>
          <w:rFonts w:ascii="Arial" w:eastAsia="Arial" w:hAnsi="Arial" w:cs="Arial"/>
          <w:color w:val="333333"/>
          <w:sz w:val="25"/>
          <w:szCs w:val="25"/>
          <w:highlight w:val="white"/>
        </w:rPr>
      </w:pPr>
      <w:r>
        <w:rPr>
          <w:rFonts w:ascii="Arial" w:eastAsia="Arial" w:hAnsi="Arial" w:cs="Arial"/>
          <w:color w:val="333333"/>
          <w:sz w:val="25"/>
          <w:szCs w:val="25"/>
          <w:highlight w:val="white"/>
        </w:rPr>
        <w:t xml:space="preserve">Artículo 40. </w:t>
      </w:r>
      <w:r>
        <w:rPr>
          <w:rFonts w:ascii="Arial" w:eastAsia="Arial" w:hAnsi="Arial" w:cs="Arial"/>
          <w:i/>
          <w:color w:val="333333"/>
          <w:sz w:val="25"/>
          <w:szCs w:val="25"/>
          <w:highlight w:val="white"/>
        </w:rPr>
        <w:t xml:space="preserve">Aprobación. </w:t>
      </w:r>
      <w:r>
        <w:rPr>
          <w:rFonts w:ascii="Arial" w:eastAsia="Arial" w:hAnsi="Arial" w:cs="Arial"/>
          <w:color w:val="333333"/>
          <w:sz w:val="25"/>
          <w:szCs w:val="25"/>
          <w:highlight w:val="white"/>
        </w:rPr>
        <w:t>Los planes serán sometidos a la consideración de la Asamblea o Concejo dentro de los primeros cuatro (4) meses del respectivo período del Gobernador o Alcalde para su aprobación La Asamblea o Concejo deberá decidir sobre los Planes dentro del mes siguiente a su presentación y si transcurre ese lapso sin adoptar decisión alguna, el Gobernador o alcalde podrá adoptarlos mediante decreto. Para estos efectos y si a ello hubiere lugar, el respectivo Gobernador o Alcalde convocará a sesiones extraordinarias a la correspondiente Asamblea o Concejo. Toda modificación que pretenda introducir la Asamblea o Concejo, debe contar con la aceptación previa y por escrito del Gobernador o Alcalde, según sea el caso.</w:t>
      </w:r>
    </w:p>
    <w:p w:rsidR="00D35DC7" w:rsidRDefault="00982954">
      <w:pPr>
        <w:shd w:val="clear" w:color="auto" w:fill="FFFFFF"/>
        <w:spacing w:before="240" w:after="240" w:line="360" w:lineRule="auto"/>
        <w:jc w:val="both"/>
        <w:rPr>
          <w:rFonts w:ascii="Arial" w:eastAsia="Arial" w:hAnsi="Arial" w:cs="Arial"/>
          <w:b/>
          <w:color w:val="333333"/>
          <w:sz w:val="25"/>
          <w:szCs w:val="25"/>
          <w:highlight w:val="white"/>
        </w:rPr>
      </w:pPr>
      <w:r>
        <w:rPr>
          <w:rFonts w:ascii="Arial" w:eastAsia="Arial" w:hAnsi="Arial" w:cs="Arial"/>
          <w:b/>
          <w:color w:val="333333"/>
          <w:sz w:val="25"/>
          <w:szCs w:val="25"/>
          <w:highlight w:val="white"/>
        </w:rPr>
        <w:t>9.3 Normas del Orden Distrital</w:t>
      </w:r>
    </w:p>
    <w:p w:rsidR="00D35DC7" w:rsidRDefault="00982954">
      <w:pPr>
        <w:shd w:val="clear" w:color="auto" w:fill="FFFFFF"/>
        <w:spacing w:line="360" w:lineRule="auto"/>
        <w:jc w:val="both"/>
        <w:rPr>
          <w:rFonts w:ascii="Arial" w:eastAsia="Arial" w:hAnsi="Arial" w:cs="Arial"/>
          <w:color w:val="333333"/>
          <w:sz w:val="25"/>
          <w:szCs w:val="25"/>
          <w:highlight w:val="white"/>
        </w:rPr>
      </w:pPr>
      <w:r>
        <w:rPr>
          <w:rFonts w:ascii="Arial" w:eastAsia="Arial" w:hAnsi="Arial" w:cs="Arial"/>
          <w:color w:val="333333"/>
          <w:sz w:val="25"/>
          <w:szCs w:val="25"/>
          <w:highlight w:val="white"/>
        </w:rPr>
        <w:t>-. ACUERDO 878 DE 2023; Por medio del cual se dictan lineamientos para el Sistema Distrital de Planeación, la creación de planes de desarrollo, se garantiza la participación ciudadana en el Distrito Capital y se dictan otras disposiciones.</w:t>
      </w:r>
    </w:p>
    <w:p w:rsidR="00D35DC7" w:rsidRDefault="00982954">
      <w:pPr>
        <w:shd w:val="clear" w:color="auto" w:fill="FFFFFF"/>
        <w:spacing w:before="240" w:after="240" w:line="360" w:lineRule="auto"/>
        <w:jc w:val="both"/>
        <w:rPr>
          <w:rFonts w:ascii="Arial" w:eastAsia="Arial" w:hAnsi="Arial" w:cs="Arial"/>
          <w:color w:val="333333"/>
          <w:sz w:val="25"/>
          <w:szCs w:val="25"/>
          <w:highlight w:val="white"/>
        </w:rPr>
      </w:pPr>
      <w:r>
        <w:rPr>
          <w:rFonts w:ascii="Arial" w:eastAsia="Arial" w:hAnsi="Arial" w:cs="Arial"/>
          <w:color w:val="333333"/>
          <w:highlight w:val="white"/>
        </w:rPr>
        <w:t>Artículo</w:t>
      </w:r>
      <w:r>
        <w:rPr>
          <w:rFonts w:ascii="Calibri" w:eastAsia="Calibri" w:hAnsi="Calibri" w:cs="Calibri"/>
          <w:color w:val="333333"/>
          <w:sz w:val="22"/>
          <w:szCs w:val="22"/>
          <w:highlight w:val="white"/>
        </w:rPr>
        <w:t xml:space="preserve"> </w:t>
      </w:r>
      <w:r>
        <w:rPr>
          <w:rFonts w:ascii="Arial" w:eastAsia="Arial" w:hAnsi="Arial" w:cs="Arial"/>
          <w:color w:val="333333"/>
          <w:highlight w:val="white"/>
        </w:rPr>
        <w:t>42. Plan Distrital de Desarrollo. El Plan Distrital de Desarrollo, deberá ser el instrumento por el cual se vinculará y armonizará, la planeación nacional, regional y departamental, en el nivel Distrital. El Plan Distrital de Desarrollo respecto a los planes de departamentos, municipios y el Plan Nacional, tendrá en cuenta las políticas, estrategias y programas que son de interés mutuo y les dan coherencia a las acciones gubernamentales. Si durante la vigencia del Plan Distrital de Desarrollo se establecen nuevos planes en la entidad de más amplia jurisdicción, el Alcalde(sa) mayor podrá presentar al Concejo de Bogotá ajustes al presupuesto plurianual de inversiones, para hacerlo consistente con estos compromisos y/o acuerdos.</w:t>
      </w:r>
    </w:p>
    <w:p w:rsidR="00D35DC7" w:rsidRDefault="00982954">
      <w:pPr>
        <w:shd w:val="clear" w:color="auto" w:fill="FFFFFF"/>
        <w:spacing w:line="360" w:lineRule="auto"/>
        <w:jc w:val="both"/>
        <w:rPr>
          <w:rFonts w:ascii="Arial" w:eastAsia="Arial" w:hAnsi="Arial" w:cs="Arial"/>
          <w:color w:val="333333"/>
          <w:sz w:val="25"/>
          <w:szCs w:val="25"/>
          <w:highlight w:val="white"/>
        </w:rPr>
      </w:pPr>
      <w:r>
        <w:rPr>
          <w:rFonts w:ascii="Arial" w:eastAsia="Arial" w:hAnsi="Arial" w:cs="Arial"/>
          <w:color w:val="333333"/>
          <w:highlight w:val="white"/>
        </w:rPr>
        <w:t>Artículo</w:t>
      </w:r>
      <w:r>
        <w:rPr>
          <w:rFonts w:ascii="Calibri" w:eastAsia="Calibri" w:hAnsi="Calibri" w:cs="Calibri"/>
          <w:color w:val="333333"/>
          <w:sz w:val="22"/>
          <w:szCs w:val="22"/>
          <w:highlight w:val="white"/>
        </w:rPr>
        <w:t xml:space="preserve"> </w:t>
      </w:r>
      <w:r>
        <w:rPr>
          <w:rFonts w:ascii="Arial" w:eastAsia="Arial" w:hAnsi="Arial" w:cs="Arial"/>
          <w:color w:val="333333"/>
          <w:highlight w:val="white"/>
        </w:rPr>
        <w:t>46. Formulación y Elaboración</w:t>
      </w:r>
      <w:r>
        <w:rPr>
          <w:rFonts w:ascii="Arial" w:eastAsia="Arial" w:hAnsi="Arial" w:cs="Arial"/>
          <w:b/>
          <w:color w:val="333333"/>
          <w:highlight w:val="white"/>
        </w:rPr>
        <w:t>.</w:t>
      </w:r>
      <w:r>
        <w:rPr>
          <w:rFonts w:ascii="Arial" w:eastAsia="Arial" w:hAnsi="Arial" w:cs="Arial"/>
          <w:color w:val="333333"/>
          <w:highlight w:val="white"/>
        </w:rPr>
        <w:t xml:space="preserve"> Para efectos de formulación y elaboración del proyecto del Plan, se observarán en cuanto sean compatibles las normas previstas para el Plan Nacional, sin embargo, deberán tenerse en cuenta especialmente las siguientes:</w:t>
      </w:r>
    </w:p>
    <w:p w:rsidR="00D35DC7" w:rsidRDefault="00982954">
      <w:pPr>
        <w:shd w:val="clear" w:color="auto" w:fill="FFFFFF"/>
        <w:spacing w:line="360" w:lineRule="auto"/>
        <w:jc w:val="both"/>
        <w:rPr>
          <w:rFonts w:ascii="Arial" w:eastAsia="Arial" w:hAnsi="Arial" w:cs="Arial"/>
          <w:color w:val="333333"/>
          <w:sz w:val="25"/>
          <w:szCs w:val="25"/>
          <w:highlight w:val="white"/>
        </w:rPr>
      </w:pPr>
      <w:r>
        <w:rPr>
          <w:rFonts w:ascii="Arial" w:eastAsia="Arial" w:hAnsi="Arial" w:cs="Arial"/>
          <w:color w:val="333333"/>
          <w:highlight w:val="white"/>
        </w:rPr>
        <w:t>h.</w:t>
      </w:r>
      <w:r>
        <w:rPr>
          <w:rFonts w:ascii="Calibri" w:eastAsia="Calibri" w:hAnsi="Calibri" w:cs="Calibri"/>
          <w:color w:val="333333"/>
          <w:sz w:val="22"/>
          <w:szCs w:val="22"/>
          <w:highlight w:val="white"/>
        </w:rPr>
        <w:t xml:space="preserve"> </w:t>
      </w:r>
      <w:r>
        <w:rPr>
          <w:rFonts w:ascii="Arial" w:eastAsia="Arial" w:hAnsi="Arial" w:cs="Arial"/>
          <w:color w:val="333333"/>
          <w:highlight w:val="white"/>
        </w:rPr>
        <w:t xml:space="preserve">El Consejo Territorial y </w:t>
      </w:r>
      <w:r>
        <w:rPr>
          <w:rFonts w:ascii="Arial" w:eastAsia="Arial" w:hAnsi="Arial" w:cs="Arial"/>
          <w:color w:val="333333"/>
          <w:highlight w:val="white"/>
          <w:u w:val="single"/>
        </w:rPr>
        <w:t>el Concejo de Bogotá, verificarán la correspondencia de los planes con los programas de Gobierno</w:t>
      </w:r>
      <w:r>
        <w:rPr>
          <w:rFonts w:ascii="Arial" w:eastAsia="Arial" w:hAnsi="Arial" w:cs="Arial"/>
          <w:color w:val="333333"/>
          <w:highlight w:val="white"/>
        </w:rPr>
        <w:t xml:space="preserve"> que hayan sido registrados al momento de la inscripción como candidato por el Alcalde(sa). (subrayado fuera de texto)</w:t>
      </w:r>
    </w:p>
    <w:p w:rsidR="00D35DC7" w:rsidRDefault="00D35DC7">
      <w:pPr>
        <w:shd w:val="clear" w:color="auto" w:fill="FFFFFF"/>
        <w:spacing w:line="360" w:lineRule="auto"/>
        <w:jc w:val="both"/>
        <w:rPr>
          <w:rFonts w:ascii="Arial" w:eastAsia="Arial" w:hAnsi="Arial" w:cs="Arial"/>
          <w:color w:val="333333"/>
          <w:sz w:val="25"/>
          <w:szCs w:val="25"/>
          <w:highlight w:val="white"/>
        </w:rPr>
      </w:pPr>
    </w:p>
    <w:p w:rsidR="00D35DC7" w:rsidRDefault="00982954">
      <w:pPr>
        <w:shd w:val="clear" w:color="auto" w:fill="FFFFFF"/>
        <w:spacing w:line="360" w:lineRule="auto"/>
        <w:jc w:val="both"/>
        <w:rPr>
          <w:rFonts w:ascii="Arial" w:eastAsia="Arial" w:hAnsi="Arial" w:cs="Arial"/>
        </w:rPr>
      </w:pPr>
      <w:r>
        <w:rPr>
          <w:rFonts w:ascii="Arial" w:eastAsia="Arial" w:hAnsi="Arial" w:cs="Arial"/>
          <w:color w:val="333333"/>
          <w:sz w:val="25"/>
          <w:szCs w:val="25"/>
          <w:highlight w:val="white"/>
        </w:rPr>
        <w:t xml:space="preserve">De conformidad con las normas antes mencionadas este concejo es competente para dar el trámite correspondiente al proyecto de acuerdo 368 de 2024 </w:t>
      </w:r>
      <w:r>
        <w:rPr>
          <w:rFonts w:ascii="Arial" w:eastAsia="Arial" w:hAnsi="Arial" w:cs="Arial"/>
        </w:rPr>
        <w:t>“Por medio del cual se adopta el plan de desarrollo económico, social, ambiental y de obras públicas del distrito capital 2024-2027 Bogotá camina segura”.</w:t>
      </w:r>
    </w:p>
    <w:p w:rsidR="00D35DC7" w:rsidRDefault="00D35DC7">
      <w:pPr>
        <w:shd w:val="clear" w:color="auto" w:fill="FFFFFF"/>
        <w:spacing w:line="360" w:lineRule="auto"/>
        <w:jc w:val="center"/>
        <w:rPr>
          <w:rFonts w:ascii="Arial" w:eastAsia="Arial" w:hAnsi="Arial" w:cs="Arial"/>
          <w:color w:val="333333"/>
          <w:sz w:val="25"/>
          <w:szCs w:val="25"/>
          <w:highlight w:val="white"/>
        </w:rPr>
      </w:pPr>
    </w:p>
    <w:p w:rsidR="00D35DC7" w:rsidRDefault="00982954">
      <w:pPr>
        <w:shd w:val="clear" w:color="auto" w:fill="FFFFFF"/>
        <w:spacing w:line="360" w:lineRule="auto"/>
        <w:jc w:val="center"/>
        <w:rPr>
          <w:rFonts w:ascii="Arial" w:eastAsia="Arial" w:hAnsi="Arial" w:cs="Arial"/>
          <w:b/>
        </w:rPr>
      </w:pPr>
      <w:r>
        <w:rPr>
          <w:rFonts w:ascii="Arial" w:eastAsia="Arial" w:hAnsi="Arial" w:cs="Arial"/>
          <w:b/>
        </w:rPr>
        <w:t xml:space="preserve">10. IMPACTO FISCAL </w:t>
      </w:r>
    </w:p>
    <w:p w:rsidR="00D35DC7" w:rsidRDefault="00D35DC7">
      <w:pPr>
        <w:spacing w:line="360" w:lineRule="auto"/>
        <w:jc w:val="both"/>
        <w:rPr>
          <w:rFonts w:ascii="Arial" w:eastAsia="Arial" w:hAnsi="Arial" w:cs="Arial"/>
        </w:rPr>
      </w:pPr>
    </w:p>
    <w:p w:rsidR="00D35DC7" w:rsidRDefault="00982954">
      <w:pPr>
        <w:spacing w:line="360" w:lineRule="auto"/>
        <w:jc w:val="both"/>
        <w:rPr>
          <w:rFonts w:ascii="Arial" w:eastAsia="Arial" w:hAnsi="Arial" w:cs="Arial"/>
        </w:rPr>
      </w:pPr>
      <w:r>
        <w:rPr>
          <w:rFonts w:ascii="Arial" w:eastAsia="Arial" w:hAnsi="Arial" w:cs="Arial"/>
        </w:rPr>
        <w:t>Teniendo en cuenta el Artículo 7 de la Ley 819 de 2003 “Por la cual se dictan normas orgánicas en materia de presupuesto, responsabilidad y transparencia fiscal y se dictan otras disposiciones”.</w:t>
      </w:r>
    </w:p>
    <w:p w:rsidR="00D35DC7" w:rsidRDefault="00D35DC7">
      <w:pPr>
        <w:spacing w:line="360" w:lineRule="auto"/>
        <w:jc w:val="both"/>
        <w:rPr>
          <w:rFonts w:ascii="Arial" w:eastAsia="Arial" w:hAnsi="Arial" w:cs="Arial"/>
        </w:rPr>
      </w:pPr>
    </w:p>
    <w:p w:rsidR="00D35DC7" w:rsidRDefault="00982954">
      <w:pPr>
        <w:spacing w:line="360" w:lineRule="auto"/>
        <w:jc w:val="both"/>
        <w:rPr>
          <w:rFonts w:ascii="Arial" w:eastAsia="Arial" w:hAnsi="Arial" w:cs="Arial"/>
        </w:rPr>
      </w:pPr>
      <w:r>
        <w:rPr>
          <w:rFonts w:ascii="Arial" w:eastAsia="Arial" w:hAnsi="Arial" w:cs="Arial"/>
        </w:rPr>
        <w:t>Artículo 7. Análisis del impacto fiscal de las normas. En todo momento, el impacto fiscal de cualquier proyecto de ley, ordenanza o acuerdo, que ordene gasto o que otorgue beneficios tributarios, deberá hacerse explícito y deberá ser compatible con el Marco Fiscal de Mediano Plazo. (…) En las entidades territoriales, el trámite previsto en el inciso anterior será surtido ante la respectiva Secretaría de Hacienda o quien haga sus veces.”</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Dentro del escenario fiscal de mediano plazo se han incorporado las estrategias mencionadas para el logro de las fuentes de financiación de las inversiones del cuatrienio, así como la inversión que se espera ejecutar con dichas fuentes. Este escenario es consistente con los indicadores de sostenibilidad de mediano plazo, acorde con lo establecido en la ley 819 de 2003 y ley 358 de 1997.</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 xml:space="preserve">El Artículo 7 de la Ley 819 de 2003 “Por la cual se dictan normas orgánicas en materia de presupuesto, responsabilidad y transparencia fiscal y se dictan otras disposiciones”, establece que, - </w:t>
      </w:r>
      <w:r>
        <w:rPr>
          <w:rFonts w:ascii="Arial" w:eastAsia="Arial" w:hAnsi="Arial" w:cs="Arial"/>
          <w:i/>
        </w:rPr>
        <w:t>En todo momento, el impacto fiscal de cualquier proyecto de ley, ordenanza o acuerdo, que ordene gasto o que otorgue beneficios tributarios, deberá hacerse explícito y deberá ser compatible con el Marco Fiscal de Mediano Plazo. (…) En las entidades territoriales, el trámite previsto en el inciso anterior será surtido ante la respectiva Secretaría de Hacienda o quien haga sus veces.</w:t>
      </w:r>
      <w:r>
        <w:rPr>
          <w:rFonts w:ascii="Arial" w:eastAsia="Arial" w:hAnsi="Arial" w:cs="Arial"/>
        </w:rPr>
        <w:t xml:space="preserve"> </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Frente a las nuevas necesidades incluidas en el Plan Distrital de Desarrollo 2024-2027, como son, la actividad bomberil para la gestión integral del riesgo contra incendios y la destinación de recursos que contribuyan a la mitigación y atención de emergencias asociadas con el cambio climático; la prestación de un servicio de alumbrado público eficiente, de calidad y con alta cobertura, que permita mejorar la calidad del espacio público y por esa vía la seguridad de la ciudad; y avanzar en el acceso efectivo de la población pobre y vulnerable al sistema de transporte público a través de la destinación de bonos de transporte.</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Frente a esto, la administración propone la inclusión de nuevas fuentes de financiamiento que comprenden, una sobretasa bomberil, por $238 mm; el cobro por uso del servicio de parqueo en fuera de vía por $334 mm, y el cobro por la prestación del servicio de alumbrado público por $990 mm, todos a precios de 2024, para un valor total de 1,4 billones, el cual tan solo representa el 1% del total de los ingresos que se requieren para ejecutar el plan de desarrollo.</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Al respecto, esta ponencia elimina estos artículos, argumentando su inconveniencia y le propone a la administración que supla estos 1,4 billones de pesos, con los recursos que suelen aparecer cada año por mayores recaudos, excedentes financieros y rendimientos de las empresas del Distrito.</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Se considera lo establecido en el artículo 1 de la Ley 358 de 1997, modificada por la Ley 2155 de 2021, -</w:t>
      </w:r>
      <w:r>
        <w:rPr>
          <w:rFonts w:ascii="Arial" w:eastAsia="Arial" w:hAnsi="Arial" w:cs="Arial"/>
          <w:i/>
        </w:rPr>
        <w:t>De conformidad con lo dispuesto en el artículo 364 de la Constitución Política, el endeudamiento de las entidades territoriales no podrá exceder su capacidad de pago. Para efectos de la presente Ley, se entiende por capacidad de pago el flujo mínimo de ahorro operacional que permite efectuar cumplidamente el servicio de la deuda en todos los años, dejando un remanente para financiar inversiones</w:t>
      </w:r>
      <w:r>
        <w:rPr>
          <w:rFonts w:ascii="Arial" w:eastAsia="Arial" w:hAnsi="Arial" w:cs="Arial"/>
        </w:rPr>
        <w:t>. -</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 xml:space="preserve">Con el propósito de precisar la capacidad de endeudamiento del Distrito Capital, se presentan los indicadores de capacidad de pago y sostenibilidad de la deuda establecidos por la Ley 358 de 1997, los cuales cumplen lo estipulado en la ley como se evidencia en los siguientes gráficos.  </w:t>
      </w:r>
    </w:p>
    <w:p w:rsidR="00D35DC7" w:rsidRDefault="00982954">
      <w:pPr>
        <w:shd w:val="clear" w:color="auto" w:fill="FFFFFF"/>
        <w:spacing w:before="240" w:after="240"/>
        <w:jc w:val="center"/>
        <w:rPr>
          <w:rFonts w:ascii="Arial" w:eastAsia="Arial" w:hAnsi="Arial" w:cs="Arial"/>
          <w:b/>
        </w:rPr>
      </w:pPr>
      <w:r>
        <w:rPr>
          <w:rFonts w:ascii="Arial" w:eastAsia="Arial" w:hAnsi="Arial" w:cs="Arial"/>
          <w:b/>
        </w:rPr>
        <w:t>Indicadores de endeudamiento 2024-2027</w:t>
      </w:r>
    </w:p>
    <w:p w:rsidR="00D35DC7" w:rsidRDefault="00D35DC7">
      <w:pPr>
        <w:shd w:val="clear" w:color="auto" w:fill="FFFFFF"/>
        <w:spacing w:before="240" w:after="240"/>
        <w:jc w:val="both"/>
        <w:rPr>
          <w:rFonts w:ascii="Arial" w:eastAsia="Arial" w:hAnsi="Arial" w:cs="Arial"/>
        </w:rPr>
      </w:pPr>
    </w:p>
    <w:p w:rsidR="00D35DC7" w:rsidRDefault="00982954">
      <w:pPr>
        <w:shd w:val="clear" w:color="auto" w:fill="FFFFFF"/>
        <w:spacing w:before="240" w:after="240"/>
        <w:jc w:val="both"/>
        <w:rPr>
          <w:rFonts w:ascii="Arial" w:eastAsia="Arial" w:hAnsi="Arial" w:cs="Arial"/>
        </w:rPr>
      </w:pPr>
      <w:r>
        <w:rPr>
          <w:rFonts w:ascii="Arial" w:eastAsia="Arial" w:hAnsi="Arial" w:cs="Arial"/>
          <w:noProof/>
          <w:lang w:val="es-ES" w:eastAsia="es-ES"/>
        </w:rPr>
        <w:drawing>
          <wp:inline distT="114300" distB="114300" distL="114300" distR="114300">
            <wp:extent cx="5612130" cy="1866900"/>
            <wp:effectExtent l="0" t="0" r="0" b="0"/>
            <wp:docPr id="12"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29"/>
                    <a:srcRect/>
                    <a:stretch>
                      <a:fillRect/>
                    </a:stretch>
                  </pic:blipFill>
                  <pic:spPr>
                    <a:xfrm>
                      <a:off x="0" y="0"/>
                      <a:ext cx="5612130" cy="1866900"/>
                    </a:xfrm>
                    <a:prstGeom prst="rect">
                      <a:avLst/>
                    </a:prstGeom>
                    <a:ln/>
                  </pic:spPr>
                </pic:pic>
              </a:graphicData>
            </a:graphic>
          </wp:inline>
        </w:drawing>
      </w:r>
    </w:p>
    <w:p w:rsidR="00D35DC7" w:rsidRDefault="00982954">
      <w:pPr>
        <w:shd w:val="clear" w:color="auto" w:fill="FFFFFF"/>
        <w:spacing w:before="240" w:after="240"/>
        <w:jc w:val="center"/>
        <w:rPr>
          <w:rFonts w:ascii="Arial" w:eastAsia="Arial" w:hAnsi="Arial" w:cs="Arial"/>
          <w:b/>
          <w:sz w:val="18"/>
          <w:szCs w:val="18"/>
        </w:rPr>
      </w:pPr>
      <w:r>
        <w:rPr>
          <w:rFonts w:ascii="Arial" w:eastAsia="Arial" w:hAnsi="Arial" w:cs="Arial"/>
          <w:b/>
          <w:sz w:val="18"/>
          <w:szCs w:val="18"/>
        </w:rPr>
        <w:t>Fuente: Secretaría de Hacienda.</w:t>
      </w:r>
    </w:p>
    <w:p w:rsidR="00D35DC7" w:rsidRDefault="00982954">
      <w:pPr>
        <w:shd w:val="clear" w:color="auto" w:fill="FFFFFF"/>
        <w:spacing w:before="240" w:after="240" w:line="360" w:lineRule="auto"/>
        <w:jc w:val="both"/>
        <w:rPr>
          <w:rFonts w:ascii="Arial" w:eastAsia="Arial" w:hAnsi="Arial" w:cs="Arial"/>
        </w:rPr>
      </w:pPr>
      <w:r>
        <w:rPr>
          <w:rFonts w:ascii="Arial" w:eastAsia="Arial" w:hAnsi="Arial" w:cs="Arial"/>
        </w:rPr>
        <w:t>Sin embargo, como se expone en la parte de componente financiero, advierto varias preocupaciones sobre todo en el indicador de sostenibilidad que para el año 2027 llegaría a 80.5% y que limitaría hacia futuro la obtención de recursos para la ciudad.</w:t>
      </w:r>
    </w:p>
    <w:p w:rsidR="00D35DC7" w:rsidRDefault="00D35DC7">
      <w:pPr>
        <w:spacing w:line="360" w:lineRule="auto"/>
        <w:jc w:val="center"/>
        <w:rPr>
          <w:rFonts w:ascii="Arial" w:eastAsia="Arial" w:hAnsi="Arial" w:cs="Arial"/>
          <w:b/>
        </w:rPr>
      </w:pPr>
    </w:p>
    <w:p w:rsidR="00D35DC7" w:rsidRDefault="00982954">
      <w:pPr>
        <w:spacing w:line="360" w:lineRule="auto"/>
        <w:jc w:val="center"/>
        <w:rPr>
          <w:rFonts w:ascii="Arial" w:eastAsia="Arial" w:hAnsi="Arial" w:cs="Arial"/>
          <w:b/>
        </w:rPr>
      </w:pPr>
      <w:r>
        <w:rPr>
          <w:rFonts w:ascii="Arial" w:eastAsia="Arial" w:hAnsi="Arial" w:cs="Arial"/>
          <w:b/>
        </w:rPr>
        <w:t>11. CONCLUSIÓN</w:t>
      </w:r>
    </w:p>
    <w:p w:rsidR="00D35DC7" w:rsidRDefault="00982954">
      <w:pPr>
        <w:spacing w:line="360" w:lineRule="auto"/>
        <w:jc w:val="both"/>
        <w:rPr>
          <w:rFonts w:ascii="Arial" w:eastAsia="Arial" w:hAnsi="Arial" w:cs="Arial"/>
        </w:rPr>
      </w:pPr>
      <w:r>
        <w:rPr>
          <w:rFonts w:ascii="Arial" w:eastAsia="Arial" w:hAnsi="Arial" w:cs="Arial"/>
        </w:rPr>
        <w:t xml:space="preserve">Conforme a lo anterior, entendiendo la importancia del proyecto y estando dentro del término reglamentario, me permito rendir </w:t>
      </w:r>
      <w:r>
        <w:rPr>
          <w:rFonts w:ascii="Arial" w:eastAsia="Arial" w:hAnsi="Arial" w:cs="Arial"/>
          <w:b/>
          <w:u w:val="single"/>
        </w:rPr>
        <w:t>PONENCIA POSITIVA CON MODIFICACIONES</w:t>
      </w:r>
      <w:r>
        <w:rPr>
          <w:rFonts w:ascii="Arial" w:eastAsia="Arial" w:hAnsi="Arial" w:cs="Arial"/>
          <w:u w:val="single"/>
        </w:rPr>
        <w:t xml:space="preserve"> </w:t>
      </w:r>
      <w:r>
        <w:rPr>
          <w:rFonts w:ascii="Arial" w:eastAsia="Arial" w:hAnsi="Arial" w:cs="Arial"/>
        </w:rPr>
        <w:t xml:space="preserve">al Proyecto de Acuerdo No. 368 de 2024 “Por medio del cual se adopta el plan de desarrollo económico, social, ambiental y de obras públicas del distrito capital 2024-2027 </w:t>
      </w:r>
      <w:r>
        <w:rPr>
          <w:rFonts w:ascii="Arial" w:eastAsia="Arial" w:hAnsi="Arial" w:cs="Arial"/>
          <w:i/>
        </w:rPr>
        <w:t>Bogotá camina segura</w:t>
      </w:r>
      <w:r>
        <w:rPr>
          <w:rFonts w:ascii="Arial" w:eastAsia="Arial" w:hAnsi="Arial" w:cs="Arial"/>
        </w:rPr>
        <w:t>”.</w:t>
      </w:r>
    </w:p>
    <w:p w:rsidR="00D35DC7" w:rsidRDefault="00D35DC7">
      <w:pPr>
        <w:spacing w:line="360" w:lineRule="auto"/>
        <w:jc w:val="both"/>
        <w:rPr>
          <w:rFonts w:ascii="Arial" w:eastAsia="Arial" w:hAnsi="Arial" w:cs="Arial"/>
          <w:b/>
          <w:i/>
          <w:color w:val="00000A"/>
          <w:highlight w:val="white"/>
        </w:rPr>
      </w:pPr>
    </w:p>
    <w:p w:rsidR="00D35DC7" w:rsidRDefault="00D35DC7">
      <w:pPr>
        <w:spacing w:line="360" w:lineRule="auto"/>
        <w:jc w:val="both"/>
        <w:rPr>
          <w:rFonts w:ascii="Arial" w:eastAsia="Arial" w:hAnsi="Arial" w:cs="Arial"/>
        </w:rPr>
      </w:pPr>
    </w:p>
    <w:p w:rsidR="00D35DC7" w:rsidRDefault="00982954">
      <w:pPr>
        <w:spacing w:line="360" w:lineRule="auto"/>
        <w:jc w:val="both"/>
        <w:rPr>
          <w:rFonts w:ascii="Arial" w:eastAsia="Arial" w:hAnsi="Arial" w:cs="Arial"/>
        </w:rPr>
      </w:pPr>
      <w:r>
        <w:rPr>
          <w:rFonts w:ascii="Arial" w:eastAsia="Arial" w:hAnsi="Arial" w:cs="Arial"/>
        </w:rPr>
        <w:t>Respetuosamente,</w:t>
      </w:r>
    </w:p>
    <w:p w:rsidR="00D35DC7" w:rsidRDefault="00982954">
      <w:pPr>
        <w:spacing w:line="360" w:lineRule="auto"/>
        <w:jc w:val="both"/>
        <w:rPr>
          <w:rFonts w:ascii="Arial" w:eastAsia="Arial" w:hAnsi="Arial" w:cs="Arial"/>
          <w:b/>
          <w:sz w:val="22"/>
          <w:szCs w:val="22"/>
        </w:rPr>
      </w:pPr>
      <w:r>
        <w:rPr>
          <w:noProof/>
          <w:lang w:val="es-ES" w:eastAsia="es-ES"/>
        </w:rPr>
        <w:drawing>
          <wp:anchor distT="0" distB="0" distL="0" distR="0" simplePos="0" relativeHeight="251659264" behindDoc="1" locked="0" layoutInCell="1" hidden="0" allowOverlap="1">
            <wp:simplePos x="0" y="0"/>
            <wp:positionH relativeFrom="column">
              <wp:posOffset>0</wp:posOffset>
            </wp:positionH>
            <wp:positionV relativeFrom="paragraph">
              <wp:posOffset>262868</wp:posOffset>
            </wp:positionV>
            <wp:extent cx="1805412" cy="707788"/>
            <wp:effectExtent l="0" t="0" r="0" b="0"/>
            <wp:wrapNone/>
            <wp:docPr id="19"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8"/>
                    <a:srcRect/>
                    <a:stretch>
                      <a:fillRect/>
                    </a:stretch>
                  </pic:blipFill>
                  <pic:spPr>
                    <a:xfrm>
                      <a:off x="0" y="0"/>
                      <a:ext cx="1805412" cy="707788"/>
                    </a:xfrm>
                    <a:prstGeom prst="rect">
                      <a:avLst/>
                    </a:prstGeom>
                    <a:ln/>
                  </pic:spPr>
                </pic:pic>
              </a:graphicData>
            </a:graphic>
          </wp:anchor>
        </w:drawing>
      </w:r>
    </w:p>
    <w:p w:rsidR="00D35DC7" w:rsidRDefault="00D35DC7">
      <w:pPr>
        <w:spacing w:line="360" w:lineRule="auto"/>
        <w:jc w:val="both"/>
        <w:rPr>
          <w:rFonts w:ascii="Arial" w:eastAsia="Arial" w:hAnsi="Arial" w:cs="Arial"/>
          <w:b/>
          <w:sz w:val="22"/>
          <w:szCs w:val="22"/>
        </w:rPr>
      </w:pPr>
    </w:p>
    <w:p w:rsidR="00D35DC7" w:rsidRDefault="00D35DC7">
      <w:pPr>
        <w:spacing w:line="360" w:lineRule="auto"/>
        <w:jc w:val="both"/>
        <w:rPr>
          <w:rFonts w:ascii="Arial" w:eastAsia="Arial" w:hAnsi="Arial" w:cs="Arial"/>
          <w:b/>
          <w:sz w:val="22"/>
          <w:szCs w:val="22"/>
        </w:rPr>
      </w:pPr>
    </w:p>
    <w:p w:rsidR="00D35DC7" w:rsidRDefault="00D35DC7">
      <w:pPr>
        <w:spacing w:line="360" w:lineRule="auto"/>
        <w:jc w:val="both"/>
        <w:rPr>
          <w:rFonts w:ascii="Arial" w:eastAsia="Arial" w:hAnsi="Arial" w:cs="Arial"/>
          <w:b/>
          <w:sz w:val="22"/>
          <w:szCs w:val="22"/>
        </w:rPr>
      </w:pPr>
    </w:p>
    <w:p w:rsidR="00D35DC7" w:rsidRDefault="00982954">
      <w:pPr>
        <w:jc w:val="both"/>
        <w:rPr>
          <w:rFonts w:ascii="Arial" w:eastAsia="Arial" w:hAnsi="Arial" w:cs="Arial"/>
          <w:b/>
          <w:sz w:val="22"/>
          <w:szCs w:val="22"/>
        </w:rPr>
      </w:pPr>
      <w:r>
        <w:rPr>
          <w:rFonts w:ascii="Arial" w:eastAsia="Arial" w:hAnsi="Arial" w:cs="Arial"/>
          <w:b/>
          <w:sz w:val="22"/>
          <w:szCs w:val="22"/>
        </w:rPr>
        <w:t>HC. CLARA LUCÍA SANDOVAL MORENO</w:t>
      </w:r>
    </w:p>
    <w:p w:rsidR="00D35DC7" w:rsidRDefault="00982954">
      <w:pPr>
        <w:jc w:val="both"/>
        <w:rPr>
          <w:rFonts w:ascii="Arial" w:eastAsia="Arial" w:hAnsi="Arial" w:cs="Arial"/>
          <w:b/>
          <w:sz w:val="22"/>
          <w:szCs w:val="22"/>
        </w:rPr>
      </w:pPr>
      <w:r>
        <w:rPr>
          <w:rFonts w:ascii="Arial" w:eastAsia="Arial" w:hAnsi="Arial" w:cs="Arial"/>
          <w:b/>
          <w:sz w:val="22"/>
          <w:szCs w:val="22"/>
        </w:rPr>
        <w:t>Concejal Ponente</w:t>
      </w:r>
    </w:p>
    <w:p w:rsidR="00D35DC7" w:rsidRDefault="00D35DC7">
      <w:pPr>
        <w:jc w:val="both"/>
        <w:rPr>
          <w:rFonts w:ascii="Arial" w:eastAsia="Arial" w:hAnsi="Arial" w:cs="Arial"/>
          <w:b/>
          <w:sz w:val="22"/>
          <w:szCs w:val="22"/>
        </w:rPr>
      </w:pPr>
    </w:p>
    <w:p w:rsidR="00D35DC7" w:rsidRDefault="00D35DC7">
      <w:pPr>
        <w:jc w:val="both"/>
        <w:rPr>
          <w:rFonts w:ascii="Arial" w:eastAsia="Arial" w:hAnsi="Arial" w:cs="Arial"/>
          <w:b/>
          <w:sz w:val="22"/>
          <w:szCs w:val="22"/>
        </w:rPr>
      </w:pPr>
    </w:p>
    <w:p w:rsidR="00D35DC7" w:rsidRDefault="00982954">
      <w:pPr>
        <w:jc w:val="both"/>
        <w:rPr>
          <w:rFonts w:ascii="Arial" w:eastAsia="Arial" w:hAnsi="Arial" w:cs="Arial"/>
          <w:sz w:val="22"/>
          <w:szCs w:val="22"/>
        </w:rPr>
      </w:pPr>
      <w:r>
        <w:rPr>
          <w:rFonts w:ascii="Arial" w:eastAsia="Arial" w:hAnsi="Arial" w:cs="Arial"/>
          <w:b/>
          <w:sz w:val="22"/>
          <w:szCs w:val="22"/>
        </w:rPr>
        <w:t xml:space="preserve">Anexo Modificaciones base del plan, </w:t>
      </w:r>
      <w:r>
        <w:rPr>
          <w:rFonts w:ascii="Arial" w:eastAsia="Arial" w:hAnsi="Arial" w:cs="Arial"/>
          <w:sz w:val="22"/>
          <w:szCs w:val="22"/>
        </w:rPr>
        <w:t>con respecto a las bases que no alcanzaron a plasmarse en esta ponencia se harán las modificaciones respectivas en el marco de la discusión del presente proyecto.</w:t>
      </w:r>
    </w:p>
    <w:p w:rsidR="00D35DC7" w:rsidRDefault="00982954">
      <w:pPr>
        <w:jc w:val="both"/>
        <w:rPr>
          <w:rFonts w:ascii="Arial" w:eastAsia="Arial" w:hAnsi="Arial" w:cs="Arial"/>
          <w:b/>
          <w:sz w:val="22"/>
          <w:szCs w:val="22"/>
        </w:rPr>
      </w:pPr>
      <w:r>
        <w:rPr>
          <w:rFonts w:ascii="Arial" w:eastAsia="Arial" w:hAnsi="Arial" w:cs="Arial"/>
          <w:b/>
          <w:sz w:val="22"/>
          <w:szCs w:val="22"/>
        </w:rPr>
        <w:t>Anexo  Metas estratégicas</w:t>
      </w:r>
    </w:p>
    <w:p w:rsidR="00D35DC7" w:rsidRDefault="00982954">
      <w:pPr>
        <w:jc w:val="both"/>
        <w:rPr>
          <w:rFonts w:ascii="Arial" w:eastAsia="Arial" w:hAnsi="Arial" w:cs="Arial"/>
          <w:b/>
          <w:sz w:val="22"/>
          <w:szCs w:val="22"/>
        </w:rPr>
      </w:pPr>
      <w:r>
        <w:rPr>
          <w:rFonts w:ascii="Arial" w:eastAsia="Arial" w:hAnsi="Arial" w:cs="Arial"/>
          <w:b/>
          <w:sz w:val="22"/>
          <w:szCs w:val="22"/>
        </w:rPr>
        <w:t xml:space="preserve">Anexo  Metas de producto </w:t>
      </w:r>
    </w:p>
    <w:p w:rsidR="00D35DC7" w:rsidRDefault="00982954">
      <w:pPr>
        <w:jc w:val="both"/>
        <w:rPr>
          <w:rFonts w:ascii="Arial" w:eastAsia="Arial" w:hAnsi="Arial" w:cs="Arial"/>
          <w:b/>
          <w:sz w:val="22"/>
          <w:szCs w:val="22"/>
        </w:rPr>
      </w:pPr>
      <w:r>
        <w:rPr>
          <w:rFonts w:ascii="Arial" w:eastAsia="Arial" w:hAnsi="Arial" w:cs="Arial"/>
          <w:b/>
          <w:sz w:val="22"/>
          <w:szCs w:val="22"/>
        </w:rPr>
        <w:t>Anexo  Propuestas de la comunidad</w:t>
      </w:r>
    </w:p>
    <w:p w:rsidR="00D35DC7" w:rsidRDefault="00982954">
      <w:pPr>
        <w:jc w:val="both"/>
        <w:rPr>
          <w:rFonts w:ascii="Arial" w:eastAsia="Arial" w:hAnsi="Arial" w:cs="Arial"/>
          <w:b/>
          <w:sz w:val="22"/>
          <w:szCs w:val="22"/>
        </w:rPr>
      </w:pPr>
      <w:r>
        <w:rPr>
          <w:rFonts w:ascii="Arial" w:eastAsia="Arial" w:hAnsi="Arial" w:cs="Arial"/>
          <w:b/>
          <w:sz w:val="22"/>
          <w:szCs w:val="22"/>
        </w:rPr>
        <w:t>Anexo  Pliego modificatorio al articulado del proyecto</w:t>
      </w:r>
    </w:p>
    <w:p w:rsidR="00DE269C" w:rsidRDefault="00DE269C">
      <w:pPr>
        <w:jc w:val="both"/>
        <w:rPr>
          <w:rFonts w:ascii="Arial" w:eastAsia="Arial" w:hAnsi="Arial" w:cs="Arial"/>
          <w:b/>
          <w:sz w:val="22"/>
          <w:szCs w:val="22"/>
        </w:rPr>
      </w:pPr>
      <w:r>
        <w:rPr>
          <w:rFonts w:ascii="Arial" w:eastAsia="Arial" w:hAnsi="Arial" w:cs="Arial"/>
          <w:b/>
          <w:sz w:val="22"/>
          <w:szCs w:val="22"/>
        </w:rPr>
        <w:t>Anexo Metas de infancia</w:t>
      </w:r>
    </w:p>
    <w:p w:rsidR="00D35DC7" w:rsidRDefault="00D35DC7">
      <w:pPr>
        <w:spacing w:line="360" w:lineRule="auto"/>
        <w:jc w:val="both"/>
        <w:rPr>
          <w:rFonts w:ascii="Arial" w:eastAsia="Arial" w:hAnsi="Arial" w:cs="Arial"/>
          <w:b/>
        </w:rPr>
      </w:pPr>
    </w:p>
    <w:p w:rsidR="00D35DC7" w:rsidRDefault="00D35DC7">
      <w:pPr>
        <w:spacing w:line="360" w:lineRule="auto"/>
        <w:jc w:val="center"/>
        <w:rPr>
          <w:rFonts w:ascii="Arial" w:eastAsia="Arial" w:hAnsi="Arial" w:cs="Arial"/>
          <w:b/>
        </w:rPr>
      </w:pPr>
    </w:p>
    <w:p w:rsidR="00D35DC7" w:rsidRDefault="00D35DC7">
      <w:pPr>
        <w:spacing w:line="360" w:lineRule="auto"/>
        <w:jc w:val="center"/>
        <w:rPr>
          <w:rFonts w:ascii="Arial" w:eastAsia="Arial" w:hAnsi="Arial" w:cs="Arial"/>
          <w:b/>
        </w:rPr>
      </w:pPr>
    </w:p>
    <w:p w:rsidR="00D35DC7" w:rsidRDefault="00982954">
      <w:pPr>
        <w:spacing w:line="360" w:lineRule="auto"/>
        <w:jc w:val="center"/>
        <w:rPr>
          <w:rFonts w:ascii="Arial" w:eastAsia="Arial" w:hAnsi="Arial" w:cs="Arial"/>
          <w:b/>
        </w:rPr>
      </w:pPr>
      <w:r>
        <w:rPr>
          <w:rFonts w:ascii="Arial" w:eastAsia="Arial" w:hAnsi="Arial" w:cs="Arial"/>
          <w:b/>
        </w:rPr>
        <w:t>12. MODIFICACIONES ARTICULADO</w:t>
      </w:r>
    </w:p>
    <w:p w:rsidR="00D35DC7" w:rsidRDefault="00D35DC7">
      <w:pPr>
        <w:pBdr>
          <w:top w:val="nil"/>
          <w:left w:val="nil"/>
          <w:bottom w:val="nil"/>
          <w:right w:val="nil"/>
          <w:between w:val="nil"/>
        </w:pBdr>
        <w:spacing w:line="360" w:lineRule="auto"/>
        <w:jc w:val="both"/>
        <w:rPr>
          <w:rFonts w:ascii="Arial" w:eastAsia="Arial" w:hAnsi="Arial" w:cs="Arial"/>
        </w:rPr>
      </w:pPr>
    </w:p>
    <w:p w:rsidR="00D35DC7" w:rsidRDefault="00982954">
      <w:pPr>
        <w:pBdr>
          <w:top w:val="nil"/>
          <w:left w:val="nil"/>
          <w:bottom w:val="nil"/>
          <w:right w:val="nil"/>
          <w:between w:val="nil"/>
        </w:pBdr>
        <w:spacing w:line="360" w:lineRule="auto"/>
        <w:jc w:val="both"/>
        <w:rPr>
          <w:rFonts w:ascii="Arial" w:eastAsia="Arial" w:hAnsi="Arial" w:cs="Arial"/>
        </w:rPr>
      </w:pPr>
      <w:r>
        <w:rPr>
          <w:rFonts w:ascii="Arial" w:eastAsia="Arial" w:hAnsi="Arial" w:cs="Arial"/>
        </w:rPr>
        <w:t xml:space="preserve">Una vez recibidas las propuestas de los honorables concejales que nos hicieron aportes a la presente ponencia, no sin antes agradecer ese gesto para con nosotros, se compilan las propuestas y se propone el siguiente articulado, el cual se aporta como un anexo. </w:t>
      </w:r>
    </w:p>
    <w:p w:rsidR="00D35DC7" w:rsidRDefault="00D35DC7">
      <w:pPr>
        <w:spacing w:line="360" w:lineRule="auto"/>
        <w:rPr>
          <w:b/>
        </w:rPr>
      </w:pPr>
    </w:p>
    <w:p w:rsidR="00D35DC7" w:rsidRDefault="00982954">
      <w:pPr>
        <w:spacing w:before="240" w:after="240" w:line="360" w:lineRule="auto"/>
        <w:jc w:val="both"/>
        <w:rPr>
          <w:b/>
        </w:rPr>
      </w:pPr>
      <w:r>
        <w:rPr>
          <w:b/>
        </w:rPr>
        <w:t xml:space="preserve"> </w:t>
      </w:r>
    </w:p>
    <w:p w:rsidR="00D35DC7" w:rsidRDefault="00982954">
      <w:pPr>
        <w:spacing w:before="240" w:after="240" w:line="360" w:lineRule="auto"/>
        <w:jc w:val="both"/>
        <w:rPr>
          <w:rFonts w:ascii="Arial" w:eastAsia="Arial" w:hAnsi="Arial" w:cs="Arial"/>
          <w:b/>
        </w:rPr>
      </w:pPr>
      <w:r>
        <w:rPr>
          <w:rFonts w:ascii="Arial" w:eastAsia="Arial" w:hAnsi="Arial" w:cs="Arial"/>
          <w:b/>
        </w:rPr>
        <w:t>METAS ESTRATÉGICAS</w:t>
      </w:r>
    </w:p>
    <w:p w:rsidR="00D35DC7" w:rsidRDefault="00982954">
      <w:pPr>
        <w:spacing w:before="240" w:after="240" w:line="360" w:lineRule="auto"/>
        <w:jc w:val="both"/>
        <w:rPr>
          <w:rFonts w:ascii="Arial" w:eastAsia="Arial" w:hAnsi="Arial" w:cs="Arial"/>
        </w:rPr>
      </w:pPr>
      <w:r>
        <w:rPr>
          <w:rFonts w:ascii="Arial" w:eastAsia="Arial" w:hAnsi="Arial" w:cs="Arial"/>
          <w:b/>
        </w:rPr>
        <w:t xml:space="preserve">Artículo 122. Metas Estratégicas: </w:t>
      </w:r>
      <w:r>
        <w:rPr>
          <w:rFonts w:ascii="Arial" w:eastAsia="Arial" w:hAnsi="Arial" w:cs="Arial"/>
        </w:rPr>
        <w:t>Las metas estratégicas son grandes apuestas de la administración sobre indicadores líderes que guardan relación o pueden verse afectados por las acciones directas plasmadas en las estrategias, programas y metas producto que hacen parte del presente Plan. No obstante, muchos indicadores que buscan ser impactados pueden presentar variaciones influenciadas por factores ajenos a las acciones de la administración, consideración que será incorporada en la estrategia de seguimiento y evaluación del plan.</w:t>
      </w:r>
    </w:p>
    <w:p w:rsidR="00D35DC7" w:rsidRDefault="00982954">
      <w:pPr>
        <w:spacing w:before="240" w:after="240" w:line="360" w:lineRule="auto"/>
        <w:jc w:val="both"/>
        <w:rPr>
          <w:rFonts w:ascii="Arial" w:eastAsia="Arial" w:hAnsi="Arial" w:cs="Arial"/>
        </w:rPr>
      </w:pPr>
      <w:r>
        <w:rPr>
          <w:rFonts w:ascii="Arial" w:eastAsia="Arial" w:hAnsi="Arial" w:cs="Arial"/>
        </w:rPr>
        <w:t>Hacen parte del presente Plan Distrital de Desarrollo, las siguientes metas estratégicas:</w:t>
      </w:r>
    </w:p>
    <w:p w:rsidR="00D35DC7" w:rsidRDefault="00982954">
      <w:pPr>
        <w:spacing w:before="240" w:after="240" w:line="360" w:lineRule="auto"/>
        <w:jc w:val="both"/>
        <w:rPr>
          <w:rFonts w:ascii="Arial" w:eastAsia="Arial" w:hAnsi="Arial" w:cs="Arial"/>
          <w:b/>
        </w:rPr>
      </w:pPr>
      <w:r>
        <w:rPr>
          <w:rFonts w:ascii="Arial" w:eastAsia="Arial" w:hAnsi="Arial" w:cs="Arial"/>
          <w:b/>
        </w:rPr>
        <w:t>OBJETIVO 1.</w:t>
      </w:r>
    </w:p>
    <w:tbl>
      <w:tblPr>
        <w:tblStyle w:val="aa"/>
        <w:tblW w:w="8838"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1107"/>
        <w:gridCol w:w="2618"/>
        <w:gridCol w:w="2079"/>
        <w:gridCol w:w="598"/>
        <w:gridCol w:w="1315"/>
        <w:gridCol w:w="1121"/>
      </w:tblGrid>
      <w:tr w:rsidR="00D35DC7">
        <w:trPr>
          <w:trHeight w:val="885"/>
        </w:trPr>
        <w:tc>
          <w:tcPr>
            <w:tcW w:w="1106" w:type="dxa"/>
            <w:tcBorders>
              <w:top w:val="single" w:sz="6" w:space="0" w:color="000000"/>
              <w:left w:val="single" w:sz="6" w:space="0" w:color="000000"/>
              <w:bottom w:val="single" w:sz="6" w:space="0" w:color="000000"/>
              <w:right w:val="single" w:sz="6" w:space="0" w:color="000000"/>
            </w:tcBorders>
            <w:shd w:val="clear" w:color="auto" w:fill="D0D0D0"/>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ID Meta Estratégica</w:t>
            </w:r>
          </w:p>
        </w:tc>
        <w:tc>
          <w:tcPr>
            <w:tcW w:w="2617" w:type="dxa"/>
            <w:tcBorders>
              <w:top w:val="single" w:sz="6" w:space="0" w:color="000000"/>
              <w:left w:val="nil"/>
              <w:bottom w:val="single" w:sz="6" w:space="0" w:color="000000"/>
              <w:right w:val="single" w:sz="6" w:space="0" w:color="000000"/>
            </w:tcBorders>
            <w:shd w:val="clear" w:color="auto" w:fill="D0D0D0"/>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Nombre Indicador</w:t>
            </w:r>
          </w:p>
        </w:tc>
        <w:tc>
          <w:tcPr>
            <w:tcW w:w="2078" w:type="dxa"/>
            <w:tcBorders>
              <w:top w:val="single" w:sz="6" w:space="0" w:color="000000"/>
              <w:left w:val="nil"/>
              <w:bottom w:val="single" w:sz="6" w:space="0" w:color="000000"/>
              <w:right w:val="single" w:sz="6" w:space="0" w:color="000000"/>
            </w:tcBorders>
            <w:shd w:val="clear" w:color="auto" w:fill="D0D0D0"/>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Fuente de línea base</w:t>
            </w:r>
          </w:p>
        </w:tc>
        <w:tc>
          <w:tcPr>
            <w:tcW w:w="598" w:type="dxa"/>
            <w:tcBorders>
              <w:top w:val="single" w:sz="6" w:space="0" w:color="000000"/>
              <w:left w:val="nil"/>
              <w:bottom w:val="single" w:sz="6" w:space="0" w:color="000000"/>
              <w:right w:val="single" w:sz="6" w:space="0" w:color="000000"/>
            </w:tcBorders>
            <w:shd w:val="clear" w:color="auto" w:fill="D0D0D0"/>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Año línea base</w:t>
            </w:r>
          </w:p>
        </w:tc>
        <w:tc>
          <w:tcPr>
            <w:tcW w:w="1315" w:type="dxa"/>
            <w:tcBorders>
              <w:top w:val="single" w:sz="6" w:space="0" w:color="000000"/>
              <w:left w:val="nil"/>
              <w:bottom w:val="single" w:sz="6" w:space="0" w:color="000000"/>
              <w:right w:val="single" w:sz="6" w:space="0" w:color="000000"/>
            </w:tcBorders>
            <w:shd w:val="clear" w:color="auto" w:fill="D0D0D0"/>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Valor de la línea base</w:t>
            </w:r>
          </w:p>
        </w:tc>
        <w:tc>
          <w:tcPr>
            <w:tcW w:w="1121" w:type="dxa"/>
            <w:tcBorders>
              <w:top w:val="single" w:sz="6" w:space="0" w:color="000000"/>
              <w:left w:val="nil"/>
              <w:bottom w:val="single" w:sz="6" w:space="0" w:color="000000"/>
              <w:right w:val="single" w:sz="6" w:space="0" w:color="000000"/>
            </w:tcBorders>
            <w:shd w:val="clear" w:color="auto" w:fill="D0D0D0"/>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Meta proyectada 2027</w:t>
            </w:r>
          </w:p>
        </w:tc>
      </w:tr>
      <w:tr w:rsidR="00D35DC7">
        <w:trPr>
          <w:trHeight w:val="930"/>
        </w:trPr>
        <w:tc>
          <w:tcPr>
            <w:tcW w:w="1106"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1.1</w:t>
            </w:r>
          </w:p>
        </w:tc>
        <w:tc>
          <w:tcPr>
            <w:tcW w:w="261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Tasa de homicidios por 100.000 habitantes</w:t>
            </w:r>
          </w:p>
        </w:tc>
        <w:tc>
          <w:tcPr>
            <w:tcW w:w="207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18"/>
                <w:szCs w:val="18"/>
              </w:rPr>
            </w:pPr>
            <w:r>
              <w:rPr>
                <w:rFonts w:ascii="Arial" w:eastAsia="Arial" w:hAnsi="Arial" w:cs="Arial"/>
                <w:b/>
                <w:sz w:val="18"/>
                <w:szCs w:val="18"/>
              </w:rPr>
              <w:t>Sistema de Información Estadístico Delictivo Contravencional y Operativo - SIEDCO</w:t>
            </w:r>
          </w:p>
        </w:tc>
        <w:tc>
          <w:tcPr>
            <w:tcW w:w="59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2023</w:t>
            </w:r>
          </w:p>
        </w:tc>
        <w:tc>
          <w:tcPr>
            <w:tcW w:w="1315"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13,6</w:t>
            </w:r>
          </w:p>
        </w:tc>
        <w:tc>
          <w:tcPr>
            <w:tcW w:w="1121"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8,0</w:t>
            </w:r>
          </w:p>
        </w:tc>
      </w:tr>
      <w:tr w:rsidR="00D35DC7">
        <w:trPr>
          <w:trHeight w:val="930"/>
        </w:trPr>
        <w:tc>
          <w:tcPr>
            <w:tcW w:w="1106"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1.2</w:t>
            </w:r>
          </w:p>
        </w:tc>
        <w:tc>
          <w:tcPr>
            <w:tcW w:w="261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Número de registros por hurto común</w:t>
            </w:r>
          </w:p>
        </w:tc>
        <w:tc>
          <w:tcPr>
            <w:tcW w:w="207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18"/>
                <w:szCs w:val="18"/>
              </w:rPr>
            </w:pPr>
            <w:r>
              <w:rPr>
                <w:rFonts w:ascii="Arial" w:eastAsia="Arial" w:hAnsi="Arial" w:cs="Arial"/>
                <w:b/>
                <w:sz w:val="18"/>
                <w:szCs w:val="18"/>
              </w:rPr>
              <w:t>Sistema de Información Estadístico Delictivo Contravencional y Operativo - SIEDCO</w:t>
            </w:r>
          </w:p>
        </w:tc>
        <w:tc>
          <w:tcPr>
            <w:tcW w:w="59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2023</w:t>
            </w:r>
          </w:p>
        </w:tc>
        <w:tc>
          <w:tcPr>
            <w:tcW w:w="1315"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 xml:space="preserve">        </w:t>
            </w:r>
            <w:r>
              <w:rPr>
                <w:rFonts w:ascii="Arial" w:eastAsia="Arial" w:hAnsi="Arial" w:cs="Arial"/>
                <w:b/>
                <w:sz w:val="20"/>
                <w:szCs w:val="20"/>
              </w:rPr>
              <w:tab/>
              <w:t>183.389</w:t>
            </w:r>
          </w:p>
        </w:tc>
        <w:tc>
          <w:tcPr>
            <w:tcW w:w="1121"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 xml:space="preserve">   </w:t>
            </w:r>
            <w:r>
              <w:rPr>
                <w:rFonts w:ascii="Arial" w:eastAsia="Arial" w:hAnsi="Arial" w:cs="Arial"/>
                <w:b/>
                <w:sz w:val="20"/>
                <w:szCs w:val="20"/>
              </w:rPr>
              <w:tab/>
              <w:t>165.050</w:t>
            </w:r>
          </w:p>
        </w:tc>
      </w:tr>
      <w:tr w:rsidR="00D35DC7">
        <w:trPr>
          <w:trHeight w:val="930"/>
        </w:trPr>
        <w:tc>
          <w:tcPr>
            <w:tcW w:w="1106"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1.3</w:t>
            </w:r>
          </w:p>
        </w:tc>
        <w:tc>
          <w:tcPr>
            <w:tcW w:w="261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Número de Denuncias por Extorsión</w:t>
            </w:r>
          </w:p>
        </w:tc>
        <w:tc>
          <w:tcPr>
            <w:tcW w:w="207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18"/>
                <w:szCs w:val="18"/>
              </w:rPr>
            </w:pPr>
            <w:r>
              <w:rPr>
                <w:rFonts w:ascii="Arial" w:eastAsia="Arial" w:hAnsi="Arial" w:cs="Arial"/>
                <w:b/>
                <w:sz w:val="18"/>
                <w:szCs w:val="18"/>
              </w:rPr>
              <w:t>Sistema de Información Estadístico Delictivo Contravencional y Operativo - SIEDCO</w:t>
            </w:r>
          </w:p>
        </w:tc>
        <w:tc>
          <w:tcPr>
            <w:tcW w:w="59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2023</w:t>
            </w:r>
          </w:p>
        </w:tc>
        <w:tc>
          <w:tcPr>
            <w:tcW w:w="1315"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 xml:space="preserve">             </w:t>
            </w:r>
            <w:r>
              <w:rPr>
                <w:rFonts w:ascii="Arial" w:eastAsia="Arial" w:hAnsi="Arial" w:cs="Arial"/>
                <w:b/>
                <w:sz w:val="20"/>
                <w:szCs w:val="20"/>
              </w:rPr>
              <w:tab/>
              <w:t>1.731</w:t>
            </w:r>
          </w:p>
        </w:tc>
        <w:tc>
          <w:tcPr>
            <w:tcW w:w="1121"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 xml:space="preserve">       </w:t>
            </w:r>
            <w:r>
              <w:rPr>
                <w:rFonts w:ascii="Arial" w:eastAsia="Arial" w:hAnsi="Arial" w:cs="Arial"/>
                <w:b/>
                <w:sz w:val="20"/>
                <w:szCs w:val="20"/>
              </w:rPr>
              <w:tab/>
              <w:t>1.558</w:t>
            </w:r>
          </w:p>
        </w:tc>
      </w:tr>
      <w:tr w:rsidR="00D35DC7">
        <w:trPr>
          <w:trHeight w:val="930"/>
        </w:trPr>
        <w:tc>
          <w:tcPr>
            <w:tcW w:w="1106"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1.4</w:t>
            </w:r>
          </w:p>
        </w:tc>
        <w:tc>
          <w:tcPr>
            <w:tcW w:w="261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Registros de lesiones personales</w:t>
            </w:r>
          </w:p>
        </w:tc>
        <w:tc>
          <w:tcPr>
            <w:tcW w:w="207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18"/>
                <w:szCs w:val="18"/>
              </w:rPr>
            </w:pPr>
            <w:r>
              <w:rPr>
                <w:rFonts w:ascii="Arial" w:eastAsia="Arial" w:hAnsi="Arial" w:cs="Arial"/>
                <w:b/>
                <w:sz w:val="18"/>
                <w:szCs w:val="18"/>
              </w:rPr>
              <w:t>Sistema de Información Estadístico Delictivo Contravencional y Operativo - SIEDCO</w:t>
            </w:r>
          </w:p>
        </w:tc>
        <w:tc>
          <w:tcPr>
            <w:tcW w:w="59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2023</w:t>
            </w:r>
          </w:p>
        </w:tc>
        <w:tc>
          <w:tcPr>
            <w:tcW w:w="1315"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 xml:space="preserve">           </w:t>
            </w:r>
            <w:r>
              <w:rPr>
                <w:rFonts w:ascii="Arial" w:eastAsia="Arial" w:hAnsi="Arial" w:cs="Arial"/>
                <w:b/>
                <w:sz w:val="20"/>
                <w:szCs w:val="20"/>
              </w:rPr>
              <w:tab/>
              <w:t>19.415</w:t>
            </w:r>
          </w:p>
        </w:tc>
        <w:tc>
          <w:tcPr>
            <w:tcW w:w="1121"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 xml:space="preserve">     </w:t>
            </w:r>
            <w:r>
              <w:rPr>
                <w:rFonts w:ascii="Arial" w:eastAsia="Arial" w:hAnsi="Arial" w:cs="Arial"/>
                <w:b/>
                <w:sz w:val="20"/>
                <w:szCs w:val="20"/>
              </w:rPr>
              <w:tab/>
              <w:t>17.474</w:t>
            </w:r>
          </w:p>
        </w:tc>
      </w:tr>
      <w:tr w:rsidR="00D35DC7">
        <w:trPr>
          <w:trHeight w:val="930"/>
        </w:trPr>
        <w:tc>
          <w:tcPr>
            <w:tcW w:w="1106"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1.5</w:t>
            </w:r>
          </w:p>
        </w:tc>
        <w:tc>
          <w:tcPr>
            <w:tcW w:w="261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Homicidios con víctima mujer</w:t>
            </w:r>
          </w:p>
        </w:tc>
        <w:tc>
          <w:tcPr>
            <w:tcW w:w="207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18"/>
                <w:szCs w:val="18"/>
              </w:rPr>
            </w:pPr>
            <w:r>
              <w:rPr>
                <w:rFonts w:ascii="Arial" w:eastAsia="Arial" w:hAnsi="Arial" w:cs="Arial"/>
                <w:b/>
                <w:sz w:val="18"/>
                <w:szCs w:val="18"/>
              </w:rPr>
              <w:t>Sistema de Información Estadístico Delictivo Contravencional y Operativo - SIEDCO</w:t>
            </w:r>
          </w:p>
        </w:tc>
        <w:tc>
          <w:tcPr>
            <w:tcW w:w="59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2023</w:t>
            </w:r>
          </w:p>
        </w:tc>
        <w:tc>
          <w:tcPr>
            <w:tcW w:w="1315"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 xml:space="preserve">                 </w:t>
            </w:r>
            <w:r>
              <w:rPr>
                <w:rFonts w:ascii="Arial" w:eastAsia="Arial" w:hAnsi="Arial" w:cs="Arial"/>
                <w:b/>
                <w:sz w:val="20"/>
                <w:szCs w:val="20"/>
              </w:rPr>
              <w:tab/>
              <w:t>89</w:t>
            </w:r>
          </w:p>
        </w:tc>
        <w:tc>
          <w:tcPr>
            <w:tcW w:w="1121"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 xml:space="preserve">            </w:t>
            </w:r>
            <w:r>
              <w:rPr>
                <w:rFonts w:ascii="Arial" w:eastAsia="Arial" w:hAnsi="Arial" w:cs="Arial"/>
                <w:b/>
                <w:sz w:val="20"/>
                <w:szCs w:val="20"/>
              </w:rPr>
              <w:tab/>
              <w:t>62</w:t>
            </w:r>
          </w:p>
        </w:tc>
      </w:tr>
      <w:tr w:rsidR="00D35DC7">
        <w:trPr>
          <w:trHeight w:val="930"/>
        </w:trPr>
        <w:tc>
          <w:tcPr>
            <w:tcW w:w="1106"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1.6</w:t>
            </w:r>
          </w:p>
        </w:tc>
        <w:tc>
          <w:tcPr>
            <w:tcW w:w="261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Registros de hurtos a personas en Transmilenio</w:t>
            </w:r>
          </w:p>
        </w:tc>
        <w:tc>
          <w:tcPr>
            <w:tcW w:w="207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18"/>
                <w:szCs w:val="18"/>
              </w:rPr>
            </w:pPr>
            <w:r>
              <w:rPr>
                <w:rFonts w:ascii="Arial" w:eastAsia="Arial" w:hAnsi="Arial" w:cs="Arial"/>
                <w:b/>
                <w:sz w:val="18"/>
                <w:szCs w:val="18"/>
              </w:rPr>
              <w:t>Sistema de Información Estadístico Delictivo Contravencional y Operativo - SIEDCO</w:t>
            </w:r>
          </w:p>
        </w:tc>
        <w:tc>
          <w:tcPr>
            <w:tcW w:w="59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2023</w:t>
            </w:r>
          </w:p>
        </w:tc>
        <w:tc>
          <w:tcPr>
            <w:tcW w:w="1315"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 xml:space="preserve">          </w:t>
            </w:r>
            <w:r>
              <w:rPr>
                <w:rFonts w:ascii="Arial" w:eastAsia="Arial" w:hAnsi="Arial" w:cs="Arial"/>
                <w:b/>
                <w:sz w:val="20"/>
                <w:szCs w:val="20"/>
              </w:rPr>
              <w:tab/>
              <w:t>10.749</w:t>
            </w:r>
          </w:p>
        </w:tc>
        <w:tc>
          <w:tcPr>
            <w:tcW w:w="1121"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 xml:space="preserve">      </w:t>
            </w:r>
            <w:r>
              <w:rPr>
                <w:rFonts w:ascii="Arial" w:eastAsia="Arial" w:hAnsi="Arial" w:cs="Arial"/>
                <w:b/>
                <w:sz w:val="20"/>
                <w:szCs w:val="20"/>
              </w:rPr>
              <w:tab/>
              <w:t>9.674</w:t>
            </w:r>
          </w:p>
        </w:tc>
      </w:tr>
      <w:tr w:rsidR="00D35DC7">
        <w:trPr>
          <w:trHeight w:val="930"/>
        </w:trPr>
        <w:tc>
          <w:tcPr>
            <w:tcW w:w="1106"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1.7</w:t>
            </w:r>
          </w:p>
        </w:tc>
        <w:tc>
          <w:tcPr>
            <w:tcW w:w="261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Mujeres víctimas de lesiones personales</w:t>
            </w:r>
          </w:p>
        </w:tc>
        <w:tc>
          <w:tcPr>
            <w:tcW w:w="207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18"/>
                <w:szCs w:val="18"/>
              </w:rPr>
            </w:pPr>
            <w:r>
              <w:rPr>
                <w:rFonts w:ascii="Arial" w:eastAsia="Arial" w:hAnsi="Arial" w:cs="Arial"/>
                <w:b/>
                <w:sz w:val="18"/>
                <w:szCs w:val="18"/>
              </w:rPr>
              <w:t>Sistema de Información Estadístico Delictivo Contravencional y Operativo - SIEDCO</w:t>
            </w:r>
          </w:p>
        </w:tc>
        <w:tc>
          <w:tcPr>
            <w:tcW w:w="59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2023</w:t>
            </w:r>
          </w:p>
        </w:tc>
        <w:tc>
          <w:tcPr>
            <w:tcW w:w="1315"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 xml:space="preserve">            </w:t>
            </w:r>
            <w:r>
              <w:rPr>
                <w:rFonts w:ascii="Arial" w:eastAsia="Arial" w:hAnsi="Arial" w:cs="Arial"/>
                <w:b/>
                <w:sz w:val="20"/>
                <w:szCs w:val="20"/>
              </w:rPr>
              <w:tab/>
              <w:t>8.225</w:t>
            </w:r>
          </w:p>
        </w:tc>
        <w:tc>
          <w:tcPr>
            <w:tcW w:w="1121"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 xml:space="preserve">      </w:t>
            </w:r>
            <w:r>
              <w:rPr>
                <w:rFonts w:ascii="Arial" w:eastAsia="Arial" w:hAnsi="Arial" w:cs="Arial"/>
                <w:b/>
                <w:sz w:val="20"/>
                <w:szCs w:val="20"/>
              </w:rPr>
              <w:tab/>
              <w:t>7.403</w:t>
            </w:r>
          </w:p>
        </w:tc>
      </w:tr>
      <w:tr w:rsidR="00D35DC7">
        <w:trPr>
          <w:trHeight w:val="930"/>
        </w:trPr>
        <w:tc>
          <w:tcPr>
            <w:tcW w:w="1106"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1.8</w:t>
            </w:r>
          </w:p>
        </w:tc>
        <w:tc>
          <w:tcPr>
            <w:tcW w:w="261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Porcentaje de mujeres que consideran que TransMilenio es inseguro o muy inseguro</w:t>
            </w:r>
          </w:p>
        </w:tc>
        <w:tc>
          <w:tcPr>
            <w:tcW w:w="207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18"/>
                <w:szCs w:val="18"/>
              </w:rPr>
            </w:pPr>
            <w:r>
              <w:rPr>
                <w:rFonts w:ascii="Arial" w:eastAsia="Arial" w:hAnsi="Arial" w:cs="Arial"/>
                <w:b/>
                <w:sz w:val="18"/>
                <w:szCs w:val="18"/>
              </w:rPr>
              <w:t>Encuesta de percepción y victimización de Bogotá - CCB</w:t>
            </w:r>
          </w:p>
        </w:tc>
        <w:tc>
          <w:tcPr>
            <w:tcW w:w="59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2023</w:t>
            </w:r>
          </w:p>
        </w:tc>
        <w:tc>
          <w:tcPr>
            <w:tcW w:w="1315"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71,0</w:t>
            </w:r>
          </w:p>
        </w:tc>
        <w:tc>
          <w:tcPr>
            <w:tcW w:w="1121"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60,0</w:t>
            </w:r>
          </w:p>
        </w:tc>
      </w:tr>
      <w:tr w:rsidR="00D35DC7">
        <w:trPr>
          <w:trHeight w:val="930"/>
        </w:trPr>
        <w:tc>
          <w:tcPr>
            <w:tcW w:w="1106"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1.9</w:t>
            </w:r>
          </w:p>
        </w:tc>
        <w:tc>
          <w:tcPr>
            <w:tcW w:w="261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Porcentaje de personas que considera que la inseguridad ha aumentado</w:t>
            </w:r>
          </w:p>
        </w:tc>
        <w:tc>
          <w:tcPr>
            <w:tcW w:w="207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18"/>
                <w:szCs w:val="18"/>
              </w:rPr>
            </w:pPr>
            <w:r>
              <w:rPr>
                <w:rFonts w:ascii="Arial" w:eastAsia="Arial" w:hAnsi="Arial" w:cs="Arial"/>
                <w:b/>
                <w:sz w:val="18"/>
                <w:szCs w:val="18"/>
              </w:rPr>
              <w:t>Encuesta de percepción y victimización de Bogotá - CCB</w:t>
            </w:r>
          </w:p>
        </w:tc>
        <w:tc>
          <w:tcPr>
            <w:tcW w:w="59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2023</w:t>
            </w:r>
          </w:p>
        </w:tc>
        <w:tc>
          <w:tcPr>
            <w:tcW w:w="1315"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76,0</w:t>
            </w:r>
          </w:p>
        </w:tc>
        <w:tc>
          <w:tcPr>
            <w:tcW w:w="1121"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56,0</w:t>
            </w:r>
          </w:p>
        </w:tc>
      </w:tr>
      <w:tr w:rsidR="00D35DC7">
        <w:trPr>
          <w:trHeight w:val="930"/>
        </w:trPr>
        <w:tc>
          <w:tcPr>
            <w:tcW w:w="1106"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1.10</w:t>
            </w:r>
          </w:p>
        </w:tc>
        <w:tc>
          <w:tcPr>
            <w:tcW w:w="261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Porcentaje de personas que consideran que el barrio en el que habitan es seguro</w:t>
            </w:r>
          </w:p>
        </w:tc>
        <w:tc>
          <w:tcPr>
            <w:tcW w:w="207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18"/>
                <w:szCs w:val="18"/>
              </w:rPr>
            </w:pPr>
            <w:r>
              <w:rPr>
                <w:rFonts w:ascii="Arial" w:eastAsia="Arial" w:hAnsi="Arial" w:cs="Arial"/>
                <w:b/>
                <w:sz w:val="18"/>
                <w:szCs w:val="18"/>
              </w:rPr>
              <w:t>Encuesta de percepción y victimización de Bogotá - CCB</w:t>
            </w:r>
          </w:p>
        </w:tc>
        <w:tc>
          <w:tcPr>
            <w:tcW w:w="59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2023</w:t>
            </w:r>
          </w:p>
        </w:tc>
        <w:tc>
          <w:tcPr>
            <w:tcW w:w="1315"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40,0</w:t>
            </w:r>
          </w:p>
        </w:tc>
        <w:tc>
          <w:tcPr>
            <w:tcW w:w="1121"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44,0</w:t>
            </w:r>
          </w:p>
        </w:tc>
      </w:tr>
      <w:tr w:rsidR="00D35DC7">
        <w:trPr>
          <w:trHeight w:val="1290"/>
        </w:trPr>
        <w:tc>
          <w:tcPr>
            <w:tcW w:w="1106"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1.11</w:t>
            </w:r>
          </w:p>
        </w:tc>
        <w:tc>
          <w:tcPr>
            <w:tcW w:w="261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Porcentaje de personas que consideran que en Bogotá las relaciones se dan en el marco de Convivencia y Cultura de Paz</w:t>
            </w:r>
          </w:p>
        </w:tc>
        <w:tc>
          <w:tcPr>
            <w:tcW w:w="207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18"/>
                <w:szCs w:val="18"/>
              </w:rPr>
            </w:pPr>
            <w:r>
              <w:rPr>
                <w:rFonts w:ascii="Arial" w:eastAsia="Arial" w:hAnsi="Arial" w:cs="Arial"/>
                <w:b/>
                <w:sz w:val="18"/>
                <w:szCs w:val="18"/>
              </w:rPr>
              <w:t>EBC - Encuesta de Indicadores de Cultura Ciudadana y garantía de derechos</w:t>
            </w:r>
          </w:p>
        </w:tc>
        <w:tc>
          <w:tcPr>
            <w:tcW w:w="59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2023</w:t>
            </w:r>
          </w:p>
        </w:tc>
        <w:tc>
          <w:tcPr>
            <w:tcW w:w="1315"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43,7</w:t>
            </w:r>
          </w:p>
        </w:tc>
        <w:tc>
          <w:tcPr>
            <w:tcW w:w="1121"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49,7</w:t>
            </w:r>
          </w:p>
        </w:tc>
      </w:tr>
      <w:tr w:rsidR="00D35DC7">
        <w:trPr>
          <w:trHeight w:val="2175"/>
        </w:trPr>
        <w:tc>
          <w:tcPr>
            <w:tcW w:w="1106"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1.12</w:t>
            </w:r>
          </w:p>
        </w:tc>
        <w:tc>
          <w:tcPr>
            <w:tcW w:w="261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Porcentaje de mujeres víctimas de violencias que reciben atención sociojurídica y psicosocial especializada de los casos remitidos por los equipos de atención de la Secretaría Distrital de la Mujer</w:t>
            </w:r>
          </w:p>
        </w:tc>
        <w:tc>
          <w:tcPr>
            <w:tcW w:w="207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18"/>
                <w:szCs w:val="18"/>
              </w:rPr>
            </w:pPr>
            <w:r>
              <w:rPr>
                <w:rFonts w:ascii="Arial" w:eastAsia="Arial" w:hAnsi="Arial" w:cs="Arial"/>
                <w:b/>
                <w:sz w:val="18"/>
                <w:szCs w:val="18"/>
              </w:rPr>
              <w:t>Sistema de Información Misional - Simisional, para Línea Púrpura Distrital, Movil Mujer y atención en el entorno hospitalario</w:t>
            </w:r>
          </w:p>
        </w:tc>
        <w:tc>
          <w:tcPr>
            <w:tcW w:w="59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2023</w:t>
            </w:r>
          </w:p>
        </w:tc>
        <w:tc>
          <w:tcPr>
            <w:tcW w:w="1315"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90,0</w:t>
            </w:r>
          </w:p>
        </w:tc>
        <w:tc>
          <w:tcPr>
            <w:tcW w:w="1121"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100,0</w:t>
            </w:r>
          </w:p>
        </w:tc>
      </w:tr>
      <w:tr w:rsidR="00D35DC7">
        <w:trPr>
          <w:trHeight w:val="1530"/>
        </w:trPr>
        <w:tc>
          <w:tcPr>
            <w:tcW w:w="1106"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1.13</w:t>
            </w:r>
          </w:p>
        </w:tc>
        <w:tc>
          <w:tcPr>
            <w:tcW w:w="261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Porcentaje de personas que consideran que en Bogotá ha habido un aumento en la Equidad de Género y Eliminación del Machismo</w:t>
            </w:r>
          </w:p>
        </w:tc>
        <w:tc>
          <w:tcPr>
            <w:tcW w:w="207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18"/>
                <w:szCs w:val="18"/>
              </w:rPr>
            </w:pPr>
            <w:r>
              <w:rPr>
                <w:rFonts w:ascii="Arial" w:eastAsia="Arial" w:hAnsi="Arial" w:cs="Arial"/>
                <w:b/>
                <w:sz w:val="18"/>
                <w:szCs w:val="18"/>
              </w:rPr>
              <w:t>EBC - Encuesta de Indicadores de Cultura Ciudadana y garantía de derechos</w:t>
            </w:r>
          </w:p>
        </w:tc>
        <w:tc>
          <w:tcPr>
            <w:tcW w:w="59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2023</w:t>
            </w:r>
          </w:p>
        </w:tc>
        <w:tc>
          <w:tcPr>
            <w:tcW w:w="1315"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54,8</w:t>
            </w:r>
          </w:p>
        </w:tc>
        <w:tc>
          <w:tcPr>
            <w:tcW w:w="1121"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60,8</w:t>
            </w:r>
          </w:p>
        </w:tc>
      </w:tr>
      <w:tr w:rsidR="00D35DC7">
        <w:trPr>
          <w:trHeight w:val="930"/>
        </w:trPr>
        <w:tc>
          <w:tcPr>
            <w:tcW w:w="1106"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1.14</w:t>
            </w:r>
          </w:p>
        </w:tc>
        <w:tc>
          <w:tcPr>
            <w:tcW w:w="261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Porcentaje de personas víctimas de delitos que presentan denuncia</w:t>
            </w:r>
          </w:p>
        </w:tc>
        <w:tc>
          <w:tcPr>
            <w:tcW w:w="207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18"/>
                <w:szCs w:val="18"/>
              </w:rPr>
            </w:pPr>
            <w:r>
              <w:rPr>
                <w:rFonts w:ascii="Arial" w:eastAsia="Arial" w:hAnsi="Arial" w:cs="Arial"/>
                <w:b/>
                <w:sz w:val="18"/>
                <w:szCs w:val="18"/>
              </w:rPr>
              <w:t>Encuesta de percepción y victimización de Bogotá - CCB</w:t>
            </w:r>
          </w:p>
        </w:tc>
        <w:tc>
          <w:tcPr>
            <w:tcW w:w="59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2023</w:t>
            </w:r>
          </w:p>
        </w:tc>
        <w:tc>
          <w:tcPr>
            <w:tcW w:w="1315"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55,0</w:t>
            </w:r>
          </w:p>
        </w:tc>
        <w:tc>
          <w:tcPr>
            <w:tcW w:w="1121"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59,0</w:t>
            </w:r>
          </w:p>
        </w:tc>
      </w:tr>
      <w:tr w:rsidR="00D35DC7">
        <w:trPr>
          <w:trHeight w:val="930"/>
        </w:trPr>
        <w:tc>
          <w:tcPr>
            <w:tcW w:w="1106"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1.15</w:t>
            </w:r>
          </w:p>
        </w:tc>
        <w:tc>
          <w:tcPr>
            <w:tcW w:w="261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Fatalidades en siniestros viales por año</w:t>
            </w:r>
          </w:p>
        </w:tc>
        <w:tc>
          <w:tcPr>
            <w:tcW w:w="207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18"/>
                <w:szCs w:val="18"/>
              </w:rPr>
            </w:pPr>
            <w:r>
              <w:rPr>
                <w:rFonts w:ascii="Arial" w:eastAsia="Arial" w:hAnsi="Arial" w:cs="Arial"/>
                <w:b/>
                <w:sz w:val="18"/>
                <w:szCs w:val="18"/>
              </w:rPr>
              <w:t>Sistema de Información Geográfico de Accidentes de Tránsito - SIGAT</w:t>
            </w:r>
          </w:p>
        </w:tc>
        <w:tc>
          <w:tcPr>
            <w:tcW w:w="59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2023</w:t>
            </w:r>
          </w:p>
        </w:tc>
        <w:tc>
          <w:tcPr>
            <w:tcW w:w="1315"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544</w:t>
            </w:r>
          </w:p>
        </w:tc>
        <w:tc>
          <w:tcPr>
            <w:tcW w:w="1121"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462</w:t>
            </w:r>
          </w:p>
        </w:tc>
      </w:tr>
      <w:tr w:rsidR="00D35DC7">
        <w:trPr>
          <w:trHeight w:val="930"/>
        </w:trPr>
        <w:tc>
          <w:tcPr>
            <w:tcW w:w="1106"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1.16</w:t>
            </w:r>
          </w:p>
        </w:tc>
        <w:tc>
          <w:tcPr>
            <w:tcW w:w="261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Porcentaje de evasión medido en el componente troncal</w:t>
            </w:r>
          </w:p>
        </w:tc>
        <w:tc>
          <w:tcPr>
            <w:tcW w:w="207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18"/>
                <w:szCs w:val="18"/>
              </w:rPr>
            </w:pPr>
            <w:r>
              <w:rPr>
                <w:rFonts w:ascii="Arial" w:eastAsia="Arial" w:hAnsi="Arial" w:cs="Arial"/>
                <w:b/>
                <w:sz w:val="18"/>
                <w:szCs w:val="18"/>
              </w:rPr>
              <w:t>Dirección Técnica de Seguridad TRANSMILENIO S.A.</w:t>
            </w:r>
          </w:p>
        </w:tc>
        <w:tc>
          <w:tcPr>
            <w:tcW w:w="59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2023</w:t>
            </w:r>
          </w:p>
        </w:tc>
        <w:tc>
          <w:tcPr>
            <w:tcW w:w="1315"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15,3</w:t>
            </w:r>
          </w:p>
        </w:tc>
        <w:tc>
          <w:tcPr>
            <w:tcW w:w="1121"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13,0</w:t>
            </w:r>
          </w:p>
        </w:tc>
      </w:tr>
      <w:tr w:rsidR="00D35DC7">
        <w:trPr>
          <w:trHeight w:val="930"/>
        </w:trPr>
        <w:tc>
          <w:tcPr>
            <w:tcW w:w="1106"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1.17</w:t>
            </w:r>
          </w:p>
        </w:tc>
        <w:tc>
          <w:tcPr>
            <w:tcW w:w="261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Metros cuadrados de espacio público efectivo por habitante</w:t>
            </w:r>
          </w:p>
        </w:tc>
        <w:tc>
          <w:tcPr>
            <w:tcW w:w="207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Observatorio de Espacio Público</w:t>
            </w:r>
          </w:p>
        </w:tc>
        <w:tc>
          <w:tcPr>
            <w:tcW w:w="59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2023</w:t>
            </w:r>
          </w:p>
        </w:tc>
        <w:tc>
          <w:tcPr>
            <w:tcW w:w="1315"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4,79</w:t>
            </w:r>
          </w:p>
        </w:tc>
        <w:tc>
          <w:tcPr>
            <w:tcW w:w="1121"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5,17</w:t>
            </w:r>
          </w:p>
        </w:tc>
      </w:tr>
    </w:tbl>
    <w:p w:rsidR="00D35DC7" w:rsidRDefault="00982954">
      <w:pPr>
        <w:spacing w:before="240" w:after="240" w:line="360" w:lineRule="auto"/>
        <w:rPr>
          <w:rFonts w:ascii="Arial" w:eastAsia="Arial" w:hAnsi="Arial" w:cs="Arial"/>
          <w:b/>
        </w:rPr>
      </w:pPr>
      <w:r>
        <w:rPr>
          <w:rFonts w:ascii="Arial" w:eastAsia="Arial" w:hAnsi="Arial" w:cs="Arial"/>
          <w:b/>
        </w:rPr>
        <w:t xml:space="preserve"> </w:t>
      </w:r>
    </w:p>
    <w:p w:rsidR="00D35DC7" w:rsidRDefault="00982954">
      <w:pPr>
        <w:spacing w:before="240" w:after="240" w:line="360" w:lineRule="auto"/>
        <w:rPr>
          <w:rFonts w:ascii="Arial" w:eastAsia="Arial" w:hAnsi="Arial" w:cs="Arial"/>
          <w:b/>
        </w:rPr>
      </w:pPr>
      <w:r>
        <w:rPr>
          <w:rFonts w:ascii="Arial" w:eastAsia="Arial" w:hAnsi="Arial" w:cs="Arial"/>
          <w:b/>
        </w:rPr>
        <w:t>OBJETIVO 2.</w:t>
      </w:r>
    </w:p>
    <w:tbl>
      <w:tblPr>
        <w:tblStyle w:val="ab"/>
        <w:tblW w:w="8838"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1104"/>
        <w:gridCol w:w="2643"/>
        <w:gridCol w:w="2105"/>
        <w:gridCol w:w="597"/>
        <w:gridCol w:w="1269"/>
        <w:gridCol w:w="1120"/>
      </w:tblGrid>
      <w:tr w:rsidR="00D35DC7">
        <w:trPr>
          <w:trHeight w:val="930"/>
        </w:trPr>
        <w:tc>
          <w:tcPr>
            <w:tcW w:w="1104" w:type="dxa"/>
            <w:tcBorders>
              <w:top w:val="single" w:sz="6" w:space="0" w:color="000000"/>
              <w:left w:val="single" w:sz="6" w:space="0" w:color="000000"/>
              <w:bottom w:val="single" w:sz="6" w:space="0" w:color="000000"/>
              <w:right w:val="single" w:sz="6" w:space="0" w:color="000000"/>
            </w:tcBorders>
            <w:shd w:val="clear" w:color="auto" w:fill="D0D0D0"/>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ID Meta Estratégica</w:t>
            </w:r>
          </w:p>
        </w:tc>
        <w:tc>
          <w:tcPr>
            <w:tcW w:w="2642" w:type="dxa"/>
            <w:tcBorders>
              <w:top w:val="single" w:sz="6" w:space="0" w:color="000000"/>
              <w:left w:val="nil"/>
              <w:bottom w:val="single" w:sz="6" w:space="0" w:color="000000"/>
              <w:right w:val="single" w:sz="6" w:space="0" w:color="000000"/>
            </w:tcBorders>
            <w:shd w:val="clear" w:color="auto" w:fill="D0D0D0"/>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Nombre Indicador</w:t>
            </w:r>
          </w:p>
        </w:tc>
        <w:tc>
          <w:tcPr>
            <w:tcW w:w="2104" w:type="dxa"/>
            <w:tcBorders>
              <w:top w:val="single" w:sz="6" w:space="0" w:color="000000"/>
              <w:left w:val="nil"/>
              <w:bottom w:val="single" w:sz="6" w:space="0" w:color="000000"/>
              <w:right w:val="single" w:sz="6" w:space="0" w:color="000000"/>
            </w:tcBorders>
            <w:shd w:val="clear" w:color="auto" w:fill="D0D0D0"/>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Fuente de línea base</w:t>
            </w:r>
          </w:p>
        </w:tc>
        <w:tc>
          <w:tcPr>
            <w:tcW w:w="597" w:type="dxa"/>
            <w:tcBorders>
              <w:top w:val="single" w:sz="6" w:space="0" w:color="000000"/>
              <w:left w:val="nil"/>
              <w:bottom w:val="single" w:sz="6" w:space="0" w:color="000000"/>
              <w:right w:val="single" w:sz="6" w:space="0" w:color="000000"/>
            </w:tcBorders>
            <w:shd w:val="clear" w:color="auto" w:fill="D0D0D0"/>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Año línea base</w:t>
            </w:r>
          </w:p>
        </w:tc>
        <w:tc>
          <w:tcPr>
            <w:tcW w:w="1268" w:type="dxa"/>
            <w:tcBorders>
              <w:top w:val="single" w:sz="6" w:space="0" w:color="000000"/>
              <w:left w:val="nil"/>
              <w:bottom w:val="single" w:sz="6" w:space="0" w:color="000000"/>
              <w:right w:val="single" w:sz="6" w:space="0" w:color="000000"/>
            </w:tcBorders>
            <w:shd w:val="clear" w:color="auto" w:fill="D0D0D0"/>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Valor de la línea base</w:t>
            </w:r>
          </w:p>
        </w:tc>
        <w:tc>
          <w:tcPr>
            <w:tcW w:w="1119" w:type="dxa"/>
            <w:tcBorders>
              <w:top w:val="single" w:sz="6" w:space="0" w:color="000000"/>
              <w:left w:val="nil"/>
              <w:bottom w:val="single" w:sz="6" w:space="0" w:color="000000"/>
              <w:right w:val="single" w:sz="6" w:space="0" w:color="000000"/>
            </w:tcBorders>
            <w:shd w:val="clear" w:color="auto" w:fill="D0D0D0"/>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Meta proyectada 2027</w:t>
            </w:r>
          </w:p>
        </w:tc>
      </w:tr>
      <w:tr w:rsidR="00D35DC7">
        <w:trPr>
          <w:trHeight w:val="900"/>
        </w:trPr>
        <w:tc>
          <w:tcPr>
            <w:tcW w:w="1104"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2.18</w:t>
            </w:r>
          </w:p>
        </w:tc>
        <w:tc>
          <w:tcPr>
            <w:tcW w:w="2642"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Incidencia de pobreza monetaria (Porcentaje de personas)</w:t>
            </w:r>
          </w:p>
        </w:tc>
        <w:tc>
          <w:tcPr>
            <w:tcW w:w="2104"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DANE - Gran Encuesta Integrada de Hogares</w:t>
            </w:r>
          </w:p>
        </w:tc>
        <w:tc>
          <w:tcPr>
            <w:tcW w:w="59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2023</w:t>
            </w:r>
          </w:p>
        </w:tc>
        <w:tc>
          <w:tcPr>
            <w:tcW w:w="126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28,2</w:t>
            </w:r>
          </w:p>
        </w:tc>
        <w:tc>
          <w:tcPr>
            <w:tcW w:w="1119"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24,9</w:t>
            </w:r>
          </w:p>
        </w:tc>
      </w:tr>
      <w:tr w:rsidR="00D35DC7">
        <w:trPr>
          <w:trHeight w:val="900"/>
        </w:trPr>
        <w:tc>
          <w:tcPr>
            <w:tcW w:w="1104"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2.19</w:t>
            </w:r>
          </w:p>
        </w:tc>
        <w:tc>
          <w:tcPr>
            <w:tcW w:w="2642"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Incidencia de pobreza multidimensional (Porcentaje de personas)</w:t>
            </w:r>
          </w:p>
        </w:tc>
        <w:tc>
          <w:tcPr>
            <w:tcW w:w="2104"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DANE - Encuesta de Calidad de Vida</w:t>
            </w:r>
          </w:p>
        </w:tc>
        <w:tc>
          <w:tcPr>
            <w:tcW w:w="59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2023</w:t>
            </w:r>
          </w:p>
        </w:tc>
        <w:tc>
          <w:tcPr>
            <w:tcW w:w="126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3,6</w:t>
            </w:r>
          </w:p>
        </w:tc>
        <w:tc>
          <w:tcPr>
            <w:tcW w:w="1119"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w:t>
            </w:r>
          </w:p>
        </w:tc>
      </w:tr>
      <w:tr w:rsidR="00D35DC7">
        <w:trPr>
          <w:trHeight w:val="900"/>
        </w:trPr>
        <w:tc>
          <w:tcPr>
            <w:tcW w:w="1104"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2.20</w:t>
            </w:r>
          </w:p>
        </w:tc>
        <w:tc>
          <w:tcPr>
            <w:tcW w:w="2642"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Porcentaje de gasto en ciudad de los hogares pobres</w:t>
            </w:r>
          </w:p>
        </w:tc>
        <w:tc>
          <w:tcPr>
            <w:tcW w:w="2104"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DANE - Encuesta de Calidad de Vida</w:t>
            </w:r>
          </w:p>
        </w:tc>
        <w:tc>
          <w:tcPr>
            <w:tcW w:w="59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2023</w:t>
            </w:r>
          </w:p>
        </w:tc>
        <w:tc>
          <w:tcPr>
            <w:tcW w:w="126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58,6</w:t>
            </w:r>
          </w:p>
        </w:tc>
        <w:tc>
          <w:tcPr>
            <w:tcW w:w="1119"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57,1</w:t>
            </w:r>
          </w:p>
        </w:tc>
      </w:tr>
      <w:tr w:rsidR="00D35DC7">
        <w:trPr>
          <w:trHeight w:val="900"/>
        </w:trPr>
        <w:tc>
          <w:tcPr>
            <w:tcW w:w="1104"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2.21</w:t>
            </w:r>
          </w:p>
        </w:tc>
        <w:tc>
          <w:tcPr>
            <w:tcW w:w="2642"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Número de hogares beneficiarios del Subsidio Distrital de Vivienda</w:t>
            </w:r>
          </w:p>
        </w:tc>
        <w:tc>
          <w:tcPr>
            <w:tcW w:w="2104"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Secretaría Distrital del Hábitat</w:t>
            </w:r>
          </w:p>
        </w:tc>
        <w:tc>
          <w:tcPr>
            <w:tcW w:w="59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2020 -2023</w:t>
            </w:r>
          </w:p>
        </w:tc>
        <w:tc>
          <w:tcPr>
            <w:tcW w:w="126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19600</w:t>
            </w:r>
          </w:p>
        </w:tc>
        <w:tc>
          <w:tcPr>
            <w:tcW w:w="1119"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17984</w:t>
            </w:r>
          </w:p>
        </w:tc>
      </w:tr>
      <w:tr w:rsidR="00D35DC7">
        <w:trPr>
          <w:trHeight w:val="1560"/>
        </w:trPr>
        <w:tc>
          <w:tcPr>
            <w:tcW w:w="1104"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2.22</w:t>
            </w:r>
          </w:p>
        </w:tc>
        <w:tc>
          <w:tcPr>
            <w:tcW w:w="2642"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Porcentaje de personas atendidas en las rutas de atención para la prevención de vulneraciones de los derechos humanos</w:t>
            </w:r>
          </w:p>
        </w:tc>
        <w:tc>
          <w:tcPr>
            <w:tcW w:w="2104"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Secretaría Distrital de Gobierno</w:t>
            </w:r>
          </w:p>
        </w:tc>
        <w:tc>
          <w:tcPr>
            <w:tcW w:w="59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2023</w:t>
            </w:r>
          </w:p>
        </w:tc>
        <w:tc>
          <w:tcPr>
            <w:tcW w:w="126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1</w:t>
            </w:r>
          </w:p>
        </w:tc>
        <w:tc>
          <w:tcPr>
            <w:tcW w:w="1119"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1</w:t>
            </w:r>
          </w:p>
        </w:tc>
      </w:tr>
      <w:tr w:rsidR="00D35DC7">
        <w:trPr>
          <w:trHeight w:val="2310"/>
        </w:trPr>
        <w:tc>
          <w:tcPr>
            <w:tcW w:w="1104"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2.23</w:t>
            </w:r>
          </w:p>
        </w:tc>
        <w:tc>
          <w:tcPr>
            <w:tcW w:w="2642"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Porcentaje de personas que participan en proyectos, actividades o campañas orientadas a la promoción del arte, la cultura y el patrimonio, y/o a la promoción de la recreación y el deporte en los barrios</w:t>
            </w:r>
          </w:p>
        </w:tc>
        <w:tc>
          <w:tcPr>
            <w:tcW w:w="2104"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EBC - Encuesta de Indicadores de Cultura Ciudadana y garantía de derechos</w:t>
            </w:r>
          </w:p>
        </w:tc>
        <w:tc>
          <w:tcPr>
            <w:tcW w:w="59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2023</w:t>
            </w:r>
          </w:p>
        </w:tc>
        <w:tc>
          <w:tcPr>
            <w:tcW w:w="126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16,9</w:t>
            </w:r>
          </w:p>
        </w:tc>
        <w:tc>
          <w:tcPr>
            <w:tcW w:w="1119"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20,9</w:t>
            </w:r>
          </w:p>
        </w:tc>
      </w:tr>
      <w:tr w:rsidR="00D35DC7">
        <w:trPr>
          <w:trHeight w:val="1965"/>
        </w:trPr>
        <w:tc>
          <w:tcPr>
            <w:tcW w:w="1104"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2.24</w:t>
            </w:r>
          </w:p>
        </w:tc>
        <w:tc>
          <w:tcPr>
            <w:tcW w:w="2642"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Porcentaje de personas de 13 años y más que actualmente se benefician a través del uso de parques y/o equipamientos culturales, recreativos y deportivos</w:t>
            </w:r>
          </w:p>
        </w:tc>
        <w:tc>
          <w:tcPr>
            <w:tcW w:w="2104"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EBC - Encuesta de Prácticas Artísticas, Culturales, Creativas y patrimoniales</w:t>
            </w:r>
          </w:p>
        </w:tc>
        <w:tc>
          <w:tcPr>
            <w:tcW w:w="59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2023</w:t>
            </w:r>
          </w:p>
        </w:tc>
        <w:tc>
          <w:tcPr>
            <w:tcW w:w="126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46,9</w:t>
            </w:r>
          </w:p>
        </w:tc>
        <w:tc>
          <w:tcPr>
            <w:tcW w:w="1119"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50,9</w:t>
            </w:r>
          </w:p>
        </w:tc>
      </w:tr>
      <w:tr w:rsidR="00D35DC7">
        <w:trPr>
          <w:trHeight w:val="900"/>
        </w:trPr>
        <w:tc>
          <w:tcPr>
            <w:tcW w:w="1104"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2.25</w:t>
            </w:r>
          </w:p>
        </w:tc>
        <w:tc>
          <w:tcPr>
            <w:tcW w:w="2642"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Porcentaje de personas que realizan actividad física</w:t>
            </w:r>
          </w:p>
        </w:tc>
        <w:tc>
          <w:tcPr>
            <w:tcW w:w="2104"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EBC - Encuesta de Prácticas Deportivas y Calidad de Vida</w:t>
            </w:r>
          </w:p>
        </w:tc>
        <w:tc>
          <w:tcPr>
            <w:tcW w:w="59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2022</w:t>
            </w:r>
          </w:p>
        </w:tc>
        <w:tc>
          <w:tcPr>
            <w:tcW w:w="126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44,7</w:t>
            </w:r>
          </w:p>
        </w:tc>
        <w:tc>
          <w:tcPr>
            <w:tcW w:w="1119"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 xml:space="preserve"> </w:t>
            </w:r>
          </w:p>
        </w:tc>
      </w:tr>
      <w:tr w:rsidR="00D35DC7">
        <w:trPr>
          <w:trHeight w:val="1170"/>
        </w:trPr>
        <w:tc>
          <w:tcPr>
            <w:tcW w:w="1104"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2.26</w:t>
            </w:r>
          </w:p>
        </w:tc>
        <w:tc>
          <w:tcPr>
            <w:tcW w:w="2642"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Razón de mortalidad materna por 100.000 nacidos vivos</w:t>
            </w:r>
          </w:p>
        </w:tc>
        <w:tc>
          <w:tcPr>
            <w:tcW w:w="2104"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DANE / Sistema de Estadísticas Vitales Secretaría Distrital de Salud</w:t>
            </w:r>
          </w:p>
        </w:tc>
        <w:tc>
          <w:tcPr>
            <w:tcW w:w="59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2022</w:t>
            </w:r>
          </w:p>
        </w:tc>
        <w:tc>
          <w:tcPr>
            <w:tcW w:w="126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38,6</w:t>
            </w:r>
          </w:p>
        </w:tc>
        <w:tc>
          <w:tcPr>
            <w:tcW w:w="1119"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29,5</w:t>
            </w:r>
          </w:p>
        </w:tc>
      </w:tr>
      <w:tr w:rsidR="00D35DC7">
        <w:trPr>
          <w:trHeight w:val="1050"/>
        </w:trPr>
        <w:tc>
          <w:tcPr>
            <w:tcW w:w="1104"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2.27</w:t>
            </w:r>
          </w:p>
        </w:tc>
        <w:tc>
          <w:tcPr>
            <w:tcW w:w="2642"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Tasa de mortalidad por suicidio por 100.000</w:t>
            </w:r>
          </w:p>
        </w:tc>
        <w:tc>
          <w:tcPr>
            <w:tcW w:w="2104"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DANE / Instituto Nacional de Medicina Legal y Ciencias Forenses</w:t>
            </w:r>
          </w:p>
        </w:tc>
        <w:tc>
          <w:tcPr>
            <w:tcW w:w="59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2019</w:t>
            </w:r>
          </w:p>
        </w:tc>
        <w:tc>
          <w:tcPr>
            <w:tcW w:w="126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5,5</w:t>
            </w:r>
          </w:p>
        </w:tc>
        <w:tc>
          <w:tcPr>
            <w:tcW w:w="1119"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&lt; 5,5</w:t>
            </w:r>
          </w:p>
        </w:tc>
      </w:tr>
      <w:tr w:rsidR="00D35DC7">
        <w:trPr>
          <w:trHeight w:val="1230"/>
        </w:trPr>
        <w:tc>
          <w:tcPr>
            <w:tcW w:w="1104"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2.28</w:t>
            </w:r>
          </w:p>
        </w:tc>
        <w:tc>
          <w:tcPr>
            <w:tcW w:w="2642"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Tasa de mortalidad infantil por 1.000 nacidos vivos</w:t>
            </w:r>
          </w:p>
        </w:tc>
        <w:tc>
          <w:tcPr>
            <w:tcW w:w="2104"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DANE / Sistema de Estadísticas Vitales Secretaría Distrital de Salud</w:t>
            </w:r>
          </w:p>
        </w:tc>
        <w:tc>
          <w:tcPr>
            <w:tcW w:w="59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2022</w:t>
            </w:r>
          </w:p>
        </w:tc>
        <w:tc>
          <w:tcPr>
            <w:tcW w:w="126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9,10</w:t>
            </w:r>
          </w:p>
        </w:tc>
        <w:tc>
          <w:tcPr>
            <w:tcW w:w="1119"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8,99</w:t>
            </w:r>
          </w:p>
        </w:tc>
      </w:tr>
      <w:tr w:rsidR="00D35DC7">
        <w:trPr>
          <w:trHeight w:val="1545"/>
        </w:trPr>
        <w:tc>
          <w:tcPr>
            <w:tcW w:w="1104"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2.29</w:t>
            </w:r>
          </w:p>
        </w:tc>
        <w:tc>
          <w:tcPr>
            <w:tcW w:w="2642"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Tasa de mortalidad prematura por enfermedades crónicas no transmisibles con edades de 30 a 70 años por 100.000 habitantes</w:t>
            </w:r>
          </w:p>
        </w:tc>
        <w:tc>
          <w:tcPr>
            <w:tcW w:w="2104"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DANE / Sistema de Estadísticas Vitales Secretaría Distrital de Salud</w:t>
            </w:r>
          </w:p>
        </w:tc>
        <w:tc>
          <w:tcPr>
            <w:tcW w:w="59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2022</w:t>
            </w:r>
          </w:p>
        </w:tc>
        <w:tc>
          <w:tcPr>
            <w:tcW w:w="126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128,7</w:t>
            </w:r>
          </w:p>
        </w:tc>
        <w:tc>
          <w:tcPr>
            <w:tcW w:w="1119"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&lt; 125</w:t>
            </w:r>
          </w:p>
        </w:tc>
      </w:tr>
      <w:tr w:rsidR="00D35DC7">
        <w:trPr>
          <w:trHeight w:val="1035"/>
        </w:trPr>
        <w:tc>
          <w:tcPr>
            <w:tcW w:w="1104"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2.30</w:t>
            </w:r>
          </w:p>
        </w:tc>
        <w:tc>
          <w:tcPr>
            <w:tcW w:w="2642"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Porcentaje de personas con experiencia buena o muy buena en la atención en salud</w:t>
            </w:r>
          </w:p>
        </w:tc>
        <w:tc>
          <w:tcPr>
            <w:tcW w:w="2104"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Encuesta de servicio a la ciudadanía - Secretaria Distrital de Salud</w:t>
            </w:r>
          </w:p>
        </w:tc>
        <w:tc>
          <w:tcPr>
            <w:tcW w:w="59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2023</w:t>
            </w:r>
          </w:p>
        </w:tc>
        <w:tc>
          <w:tcPr>
            <w:tcW w:w="126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78,1</w:t>
            </w:r>
          </w:p>
        </w:tc>
        <w:tc>
          <w:tcPr>
            <w:tcW w:w="1119"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80,2</w:t>
            </w:r>
          </w:p>
        </w:tc>
      </w:tr>
      <w:tr w:rsidR="00D35DC7">
        <w:trPr>
          <w:trHeight w:val="5070"/>
        </w:trPr>
        <w:tc>
          <w:tcPr>
            <w:tcW w:w="1104"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2.31</w:t>
            </w:r>
          </w:p>
        </w:tc>
        <w:tc>
          <w:tcPr>
            <w:tcW w:w="2642"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Cascada de atención en VIH: Porcentaje de personas que viven con VIH, conocen su diagnóstico, tienen acceso a tratamiento y alcanzan cargas virales indetectables</w:t>
            </w:r>
          </w:p>
        </w:tc>
        <w:tc>
          <w:tcPr>
            <w:tcW w:w="2104"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Informe Cuenta de Alto Costo Colombia 2022 - Secretaría Distrital de Salud</w:t>
            </w:r>
          </w:p>
        </w:tc>
        <w:tc>
          <w:tcPr>
            <w:tcW w:w="59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2021</w:t>
            </w:r>
          </w:p>
        </w:tc>
        <w:tc>
          <w:tcPr>
            <w:tcW w:w="126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16"/>
                <w:szCs w:val="16"/>
              </w:rPr>
            </w:pPr>
            <w:r>
              <w:rPr>
                <w:rFonts w:ascii="Arial" w:eastAsia="Arial" w:hAnsi="Arial" w:cs="Arial"/>
                <w:b/>
                <w:sz w:val="16"/>
                <w:szCs w:val="16"/>
              </w:rPr>
              <w:t>Porcentaje de personas que viven con VIH y conocen su diagnóstico:  78,8%.</w:t>
            </w:r>
            <w:r>
              <w:rPr>
                <w:rFonts w:ascii="Arial" w:eastAsia="Arial" w:hAnsi="Arial" w:cs="Arial"/>
                <w:b/>
                <w:sz w:val="16"/>
                <w:szCs w:val="16"/>
              </w:rPr>
              <w:br/>
              <w:t xml:space="preserve"> Porcentaje de personas que viven con VIH conocen su diagnóstico y tienen acceso a tratamiento: 89,2%.</w:t>
            </w:r>
            <w:r>
              <w:rPr>
                <w:rFonts w:ascii="Arial" w:eastAsia="Arial" w:hAnsi="Arial" w:cs="Arial"/>
                <w:b/>
                <w:sz w:val="16"/>
                <w:szCs w:val="16"/>
              </w:rPr>
              <w:br/>
              <w:t xml:space="preserve"> Porcentaje de personas que viven con VIH conocen su diagnóstico y tienen acceso a tratamiento y alcanzan cargas virales indetectables: 90,9%.</w:t>
            </w:r>
          </w:p>
        </w:tc>
        <w:tc>
          <w:tcPr>
            <w:tcW w:w="1119"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16"/>
                <w:szCs w:val="16"/>
              </w:rPr>
            </w:pPr>
            <w:r>
              <w:rPr>
                <w:rFonts w:ascii="Arial" w:eastAsia="Arial" w:hAnsi="Arial" w:cs="Arial"/>
                <w:b/>
                <w:sz w:val="16"/>
                <w:szCs w:val="16"/>
              </w:rPr>
              <w:t>El 91% de la población que vive con VIH conoce su diagnostico, el 92% de estos tienen acceso al tratamiento y de estas últimas el 92% alcanzan cargas  virales indetectables</w:t>
            </w:r>
          </w:p>
        </w:tc>
      </w:tr>
      <w:tr w:rsidR="00D35DC7">
        <w:trPr>
          <w:trHeight w:val="1035"/>
        </w:trPr>
        <w:tc>
          <w:tcPr>
            <w:tcW w:w="1104"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2.32</w:t>
            </w:r>
          </w:p>
        </w:tc>
        <w:tc>
          <w:tcPr>
            <w:tcW w:w="2642"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Porcentaje de Incidencia en inseguridad alimentaria severa</w:t>
            </w:r>
          </w:p>
        </w:tc>
        <w:tc>
          <w:tcPr>
            <w:tcW w:w="2104"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DANE - Escala de Experiencia de Seguridad Alimentaria FIES</w:t>
            </w:r>
          </w:p>
        </w:tc>
        <w:tc>
          <w:tcPr>
            <w:tcW w:w="59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2023</w:t>
            </w:r>
          </w:p>
        </w:tc>
        <w:tc>
          <w:tcPr>
            <w:tcW w:w="126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3,8</w:t>
            </w:r>
          </w:p>
        </w:tc>
        <w:tc>
          <w:tcPr>
            <w:tcW w:w="1119"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2,2</w:t>
            </w:r>
          </w:p>
        </w:tc>
      </w:tr>
      <w:tr w:rsidR="00D35DC7">
        <w:trPr>
          <w:trHeight w:val="900"/>
        </w:trPr>
        <w:tc>
          <w:tcPr>
            <w:tcW w:w="1104"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2.33</w:t>
            </w:r>
          </w:p>
        </w:tc>
        <w:tc>
          <w:tcPr>
            <w:tcW w:w="2642"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Promedio de libros leídos al año por persona</w:t>
            </w:r>
          </w:p>
        </w:tc>
        <w:tc>
          <w:tcPr>
            <w:tcW w:w="2104"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EBC - Encuesta Bienal de Culturas</w:t>
            </w:r>
          </w:p>
        </w:tc>
        <w:tc>
          <w:tcPr>
            <w:tcW w:w="59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2023</w:t>
            </w:r>
          </w:p>
        </w:tc>
        <w:tc>
          <w:tcPr>
            <w:tcW w:w="126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2,9</w:t>
            </w:r>
          </w:p>
        </w:tc>
        <w:tc>
          <w:tcPr>
            <w:tcW w:w="1119"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3,1</w:t>
            </w:r>
          </w:p>
        </w:tc>
      </w:tr>
      <w:tr w:rsidR="00D35DC7">
        <w:trPr>
          <w:trHeight w:val="1035"/>
        </w:trPr>
        <w:tc>
          <w:tcPr>
            <w:tcW w:w="1104"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2.34</w:t>
            </w:r>
          </w:p>
        </w:tc>
        <w:tc>
          <w:tcPr>
            <w:tcW w:w="2642"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Tasa Específica de Fecundidad en mujeres menores de 14 años</w:t>
            </w:r>
          </w:p>
        </w:tc>
        <w:tc>
          <w:tcPr>
            <w:tcW w:w="2104"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DANE / Sistema de Estadísticas Vitales Secretaría Distrital de Salud</w:t>
            </w:r>
          </w:p>
        </w:tc>
        <w:tc>
          <w:tcPr>
            <w:tcW w:w="59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2022</w:t>
            </w:r>
          </w:p>
        </w:tc>
        <w:tc>
          <w:tcPr>
            <w:tcW w:w="126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0,6</w:t>
            </w:r>
          </w:p>
        </w:tc>
        <w:tc>
          <w:tcPr>
            <w:tcW w:w="1119"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0,6</w:t>
            </w:r>
          </w:p>
        </w:tc>
      </w:tr>
      <w:tr w:rsidR="00D35DC7">
        <w:trPr>
          <w:trHeight w:val="1035"/>
        </w:trPr>
        <w:tc>
          <w:tcPr>
            <w:tcW w:w="1104"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2.35</w:t>
            </w:r>
          </w:p>
        </w:tc>
        <w:tc>
          <w:tcPr>
            <w:tcW w:w="2642"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Tasa Específica de Fecundidad en mujeres de 15 a 19 años</w:t>
            </w:r>
          </w:p>
        </w:tc>
        <w:tc>
          <w:tcPr>
            <w:tcW w:w="2104"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DANE / Sistema de Estadísticas Vitales Secretaría Distrital de Salud</w:t>
            </w:r>
          </w:p>
        </w:tc>
        <w:tc>
          <w:tcPr>
            <w:tcW w:w="59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2022</w:t>
            </w:r>
          </w:p>
        </w:tc>
        <w:tc>
          <w:tcPr>
            <w:tcW w:w="126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21,9</w:t>
            </w:r>
          </w:p>
        </w:tc>
        <w:tc>
          <w:tcPr>
            <w:tcW w:w="1119"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18</w:t>
            </w:r>
          </w:p>
        </w:tc>
      </w:tr>
      <w:tr w:rsidR="00D35DC7">
        <w:trPr>
          <w:trHeight w:val="1035"/>
        </w:trPr>
        <w:tc>
          <w:tcPr>
            <w:tcW w:w="1104"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2.36</w:t>
            </w:r>
          </w:p>
        </w:tc>
        <w:tc>
          <w:tcPr>
            <w:tcW w:w="2642"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Proporción de desnutrición aguda en menores de 5 años</w:t>
            </w:r>
          </w:p>
        </w:tc>
        <w:tc>
          <w:tcPr>
            <w:tcW w:w="2104"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Sistema de Información de Vigilancia Alimentario y Nutricional - SISVAN</w:t>
            </w:r>
          </w:p>
        </w:tc>
        <w:tc>
          <w:tcPr>
            <w:tcW w:w="59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2023</w:t>
            </w:r>
          </w:p>
        </w:tc>
        <w:tc>
          <w:tcPr>
            <w:tcW w:w="126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1,8</w:t>
            </w:r>
          </w:p>
        </w:tc>
        <w:tc>
          <w:tcPr>
            <w:tcW w:w="1119"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1,6</w:t>
            </w:r>
          </w:p>
        </w:tc>
      </w:tr>
    </w:tbl>
    <w:p w:rsidR="00D35DC7" w:rsidRDefault="00982954">
      <w:pPr>
        <w:spacing w:before="240" w:after="240" w:line="360" w:lineRule="auto"/>
        <w:rPr>
          <w:rFonts w:ascii="Arial" w:eastAsia="Arial" w:hAnsi="Arial" w:cs="Arial"/>
          <w:b/>
        </w:rPr>
      </w:pPr>
      <w:r>
        <w:rPr>
          <w:rFonts w:ascii="Arial" w:eastAsia="Arial" w:hAnsi="Arial" w:cs="Arial"/>
          <w:b/>
        </w:rPr>
        <w:t xml:space="preserve"> </w:t>
      </w:r>
    </w:p>
    <w:p w:rsidR="00D35DC7" w:rsidRDefault="00982954">
      <w:pPr>
        <w:spacing w:before="240" w:after="240" w:line="360" w:lineRule="auto"/>
        <w:rPr>
          <w:rFonts w:ascii="Arial" w:eastAsia="Arial" w:hAnsi="Arial" w:cs="Arial"/>
          <w:b/>
        </w:rPr>
      </w:pPr>
      <w:r>
        <w:rPr>
          <w:rFonts w:ascii="Arial" w:eastAsia="Arial" w:hAnsi="Arial" w:cs="Arial"/>
          <w:b/>
        </w:rPr>
        <w:t>OBJETIVO 3.</w:t>
      </w:r>
    </w:p>
    <w:tbl>
      <w:tblPr>
        <w:tblStyle w:val="ac"/>
        <w:tblW w:w="8838"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1109"/>
        <w:gridCol w:w="2577"/>
        <w:gridCol w:w="2052"/>
        <w:gridCol w:w="659"/>
        <w:gridCol w:w="1318"/>
        <w:gridCol w:w="1123"/>
      </w:tblGrid>
      <w:tr w:rsidR="00D35DC7">
        <w:trPr>
          <w:trHeight w:val="900"/>
        </w:trPr>
        <w:tc>
          <w:tcPr>
            <w:tcW w:w="1108" w:type="dxa"/>
            <w:tcBorders>
              <w:top w:val="single" w:sz="6" w:space="0" w:color="000000"/>
              <w:left w:val="single" w:sz="6" w:space="0" w:color="000000"/>
              <w:bottom w:val="single" w:sz="6" w:space="0" w:color="000000"/>
              <w:right w:val="single" w:sz="6" w:space="0" w:color="000000"/>
            </w:tcBorders>
            <w:shd w:val="clear" w:color="auto" w:fill="D0D0D0"/>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ID Meta Estratégica</w:t>
            </w:r>
          </w:p>
        </w:tc>
        <w:tc>
          <w:tcPr>
            <w:tcW w:w="2576" w:type="dxa"/>
            <w:tcBorders>
              <w:top w:val="single" w:sz="6" w:space="0" w:color="000000"/>
              <w:left w:val="nil"/>
              <w:bottom w:val="single" w:sz="6" w:space="0" w:color="000000"/>
              <w:right w:val="single" w:sz="6" w:space="0" w:color="000000"/>
            </w:tcBorders>
            <w:shd w:val="clear" w:color="auto" w:fill="D0D0D0"/>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Nombre Indicador</w:t>
            </w:r>
          </w:p>
        </w:tc>
        <w:tc>
          <w:tcPr>
            <w:tcW w:w="2052" w:type="dxa"/>
            <w:tcBorders>
              <w:top w:val="single" w:sz="6" w:space="0" w:color="000000"/>
              <w:left w:val="nil"/>
              <w:bottom w:val="single" w:sz="6" w:space="0" w:color="000000"/>
              <w:right w:val="single" w:sz="6" w:space="0" w:color="000000"/>
            </w:tcBorders>
            <w:shd w:val="clear" w:color="auto" w:fill="D0D0D0"/>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Fuente de línea base</w:t>
            </w:r>
          </w:p>
        </w:tc>
        <w:tc>
          <w:tcPr>
            <w:tcW w:w="659" w:type="dxa"/>
            <w:tcBorders>
              <w:top w:val="single" w:sz="6" w:space="0" w:color="000000"/>
              <w:left w:val="nil"/>
              <w:bottom w:val="single" w:sz="6" w:space="0" w:color="000000"/>
              <w:right w:val="single" w:sz="6" w:space="0" w:color="000000"/>
            </w:tcBorders>
            <w:shd w:val="clear" w:color="auto" w:fill="D0D0D0"/>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Año línea base</w:t>
            </w:r>
          </w:p>
        </w:tc>
        <w:tc>
          <w:tcPr>
            <w:tcW w:w="1318" w:type="dxa"/>
            <w:tcBorders>
              <w:top w:val="single" w:sz="6" w:space="0" w:color="000000"/>
              <w:left w:val="nil"/>
              <w:bottom w:val="single" w:sz="6" w:space="0" w:color="000000"/>
              <w:right w:val="single" w:sz="6" w:space="0" w:color="000000"/>
            </w:tcBorders>
            <w:shd w:val="clear" w:color="auto" w:fill="D0D0D0"/>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Valor de la línea base</w:t>
            </w:r>
          </w:p>
        </w:tc>
        <w:tc>
          <w:tcPr>
            <w:tcW w:w="1123" w:type="dxa"/>
            <w:tcBorders>
              <w:top w:val="single" w:sz="6" w:space="0" w:color="000000"/>
              <w:left w:val="nil"/>
              <w:bottom w:val="single" w:sz="6" w:space="0" w:color="000000"/>
              <w:right w:val="single" w:sz="6" w:space="0" w:color="000000"/>
            </w:tcBorders>
            <w:shd w:val="clear" w:color="auto" w:fill="D0D0D0"/>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Meta proyectada 2027</w:t>
            </w:r>
          </w:p>
        </w:tc>
      </w:tr>
      <w:tr w:rsidR="00D35DC7">
        <w:trPr>
          <w:trHeight w:val="855"/>
        </w:trPr>
        <w:tc>
          <w:tcPr>
            <w:tcW w:w="1108"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3.37</w:t>
            </w:r>
          </w:p>
        </w:tc>
        <w:tc>
          <w:tcPr>
            <w:tcW w:w="2576"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Número de cupos nuevos para la atención integral a la primera infancia</w:t>
            </w:r>
          </w:p>
        </w:tc>
        <w:tc>
          <w:tcPr>
            <w:tcW w:w="2052"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Sistema Integrado de Matrícula - SIMAT</w:t>
            </w:r>
          </w:p>
        </w:tc>
        <w:tc>
          <w:tcPr>
            <w:tcW w:w="659"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color w:val="1F1F1F"/>
                <w:sz w:val="20"/>
                <w:szCs w:val="20"/>
              </w:rPr>
            </w:pPr>
            <w:r>
              <w:rPr>
                <w:rFonts w:ascii="Arial" w:eastAsia="Arial" w:hAnsi="Arial" w:cs="Arial"/>
                <w:b/>
                <w:color w:val="1F1F1F"/>
                <w:sz w:val="20"/>
                <w:szCs w:val="20"/>
              </w:rPr>
              <w:t>No Aplica</w:t>
            </w:r>
          </w:p>
        </w:tc>
        <w:tc>
          <w:tcPr>
            <w:tcW w:w="131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No Aplica</w:t>
            </w:r>
          </w:p>
        </w:tc>
        <w:tc>
          <w:tcPr>
            <w:tcW w:w="1123" w:type="dxa"/>
            <w:tcBorders>
              <w:top w:val="nil"/>
              <w:left w:val="nil"/>
              <w:bottom w:val="single" w:sz="6" w:space="0" w:color="000000"/>
              <w:right w:val="single" w:sz="6" w:space="0" w:color="000000"/>
            </w:tcBorders>
            <w:shd w:val="clear" w:color="auto" w:fill="FFFFFF"/>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 xml:space="preserve">    </w:t>
            </w:r>
            <w:r>
              <w:rPr>
                <w:rFonts w:ascii="Arial" w:eastAsia="Arial" w:hAnsi="Arial" w:cs="Arial"/>
                <w:b/>
                <w:sz w:val="20"/>
                <w:szCs w:val="20"/>
              </w:rPr>
              <w:tab/>
              <w:t>10.000</w:t>
            </w:r>
          </w:p>
        </w:tc>
      </w:tr>
      <w:tr w:rsidR="00D35DC7">
        <w:trPr>
          <w:trHeight w:val="1290"/>
        </w:trPr>
        <w:tc>
          <w:tcPr>
            <w:tcW w:w="1108"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3.38</w:t>
            </w:r>
          </w:p>
        </w:tc>
        <w:tc>
          <w:tcPr>
            <w:tcW w:w="2576"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Porcentaje de estudiantes que se encuentran en nivel bajo en el Índice de Clima Escolar</w:t>
            </w:r>
          </w:p>
        </w:tc>
        <w:tc>
          <w:tcPr>
            <w:tcW w:w="2052"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Secretaría de Educación del Distrito - Dirección de Evaluación de la Educación</w:t>
            </w:r>
          </w:p>
        </w:tc>
        <w:tc>
          <w:tcPr>
            <w:tcW w:w="659"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2019</w:t>
            </w:r>
          </w:p>
        </w:tc>
        <w:tc>
          <w:tcPr>
            <w:tcW w:w="131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23,0</w:t>
            </w:r>
          </w:p>
        </w:tc>
        <w:tc>
          <w:tcPr>
            <w:tcW w:w="1123"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8,0</w:t>
            </w:r>
          </w:p>
        </w:tc>
      </w:tr>
      <w:tr w:rsidR="00D35DC7">
        <w:trPr>
          <w:trHeight w:val="1035"/>
        </w:trPr>
        <w:tc>
          <w:tcPr>
            <w:tcW w:w="1108"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3.39</w:t>
            </w:r>
          </w:p>
        </w:tc>
        <w:tc>
          <w:tcPr>
            <w:tcW w:w="2576"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Porcentaje de evaluados que evidencian Nivel 3 o 4 en lectura crítica en las pruebas Saber 11</w:t>
            </w:r>
          </w:p>
        </w:tc>
        <w:tc>
          <w:tcPr>
            <w:tcW w:w="2052"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ICFES - Secretaría de Educación del Distrito</w:t>
            </w:r>
          </w:p>
        </w:tc>
        <w:tc>
          <w:tcPr>
            <w:tcW w:w="659"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2023</w:t>
            </w:r>
          </w:p>
        </w:tc>
        <w:tc>
          <w:tcPr>
            <w:tcW w:w="131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67,0</w:t>
            </w:r>
          </w:p>
        </w:tc>
        <w:tc>
          <w:tcPr>
            <w:tcW w:w="1123"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80,0</w:t>
            </w:r>
          </w:p>
        </w:tc>
      </w:tr>
      <w:tr w:rsidR="00D35DC7">
        <w:trPr>
          <w:trHeight w:val="1035"/>
        </w:trPr>
        <w:tc>
          <w:tcPr>
            <w:tcW w:w="1108"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3.40</w:t>
            </w:r>
          </w:p>
        </w:tc>
        <w:tc>
          <w:tcPr>
            <w:tcW w:w="2576"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Porcentaje de evaluados que evidencian Nivel 3 o 4 en matemáticas en las pruebas Saber 11</w:t>
            </w:r>
          </w:p>
        </w:tc>
        <w:tc>
          <w:tcPr>
            <w:tcW w:w="2052"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ICFES - Secretaría de Educación del Distrito</w:t>
            </w:r>
          </w:p>
        </w:tc>
        <w:tc>
          <w:tcPr>
            <w:tcW w:w="659"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2023</w:t>
            </w:r>
          </w:p>
        </w:tc>
        <w:tc>
          <w:tcPr>
            <w:tcW w:w="131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57,0</w:t>
            </w:r>
          </w:p>
        </w:tc>
        <w:tc>
          <w:tcPr>
            <w:tcW w:w="1123"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70,0</w:t>
            </w:r>
          </w:p>
        </w:tc>
      </w:tr>
      <w:tr w:rsidR="00D35DC7">
        <w:trPr>
          <w:trHeight w:val="1290"/>
        </w:trPr>
        <w:tc>
          <w:tcPr>
            <w:tcW w:w="1108"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3.41</w:t>
            </w:r>
          </w:p>
        </w:tc>
        <w:tc>
          <w:tcPr>
            <w:tcW w:w="2576"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Porcentaje de evaluados que presentan resultados de aprendizaje en los niveles B1 o superior de inglés en las pruebas Saber 11</w:t>
            </w:r>
          </w:p>
        </w:tc>
        <w:tc>
          <w:tcPr>
            <w:tcW w:w="2052"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ICFES - Secretaría de Educación del Distrito</w:t>
            </w:r>
          </w:p>
        </w:tc>
        <w:tc>
          <w:tcPr>
            <w:tcW w:w="659"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2023</w:t>
            </w:r>
          </w:p>
        </w:tc>
        <w:tc>
          <w:tcPr>
            <w:tcW w:w="131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9,0</w:t>
            </w:r>
          </w:p>
        </w:tc>
        <w:tc>
          <w:tcPr>
            <w:tcW w:w="1123"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35,0</w:t>
            </w:r>
          </w:p>
        </w:tc>
      </w:tr>
      <w:tr w:rsidR="00D35DC7">
        <w:trPr>
          <w:trHeight w:val="855"/>
        </w:trPr>
        <w:tc>
          <w:tcPr>
            <w:tcW w:w="1108"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3.42</w:t>
            </w:r>
          </w:p>
        </w:tc>
        <w:tc>
          <w:tcPr>
            <w:tcW w:w="2576"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Tasa de graduación acumulada (Porcentaje)</w:t>
            </w:r>
          </w:p>
        </w:tc>
        <w:tc>
          <w:tcPr>
            <w:tcW w:w="2052"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Sistema Integrado de Matrícula - SIMAT</w:t>
            </w:r>
          </w:p>
        </w:tc>
        <w:tc>
          <w:tcPr>
            <w:tcW w:w="659"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2023</w:t>
            </w:r>
          </w:p>
        </w:tc>
        <w:tc>
          <w:tcPr>
            <w:tcW w:w="131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77,1</w:t>
            </w:r>
          </w:p>
        </w:tc>
        <w:tc>
          <w:tcPr>
            <w:tcW w:w="1123"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90,0</w:t>
            </w:r>
          </w:p>
        </w:tc>
      </w:tr>
      <w:tr w:rsidR="00D35DC7">
        <w:trPr>
          <w:trHeight w:val="855"/>
        </w:trPr>
        <w:tc>
          <w:tcPr>
            <w:tcW w:w="1108"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3.43</w:t>
            </w:r>
          </w:p>
        </w:tc>
        <w:tc>
          <w:tcPr>
            <w:tcW w:w="2576"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Tasa de tránsito inmediato a educación posmedia (Porcentaje)</w:t>
            </w:r>
          </w:p>
        </w:tc>
        <w:tc>
          <w:tcPr>
            <w:tcW w:w="2052"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SIMAT - SNIES - SIET</w:t>
            </w:r>
          </w:p>
        </w:tc>
        <w:tc>
          <w:tcPr>
            <w:tcW w:w="659"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2023</w:t>
            </w:r>
          </w:p>
        </w:tc>
        <w:tc>
          <w:tcPr>
            <w:tcW w:w="131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64,0</w:t>
            </w:r>
          </w:p>
        </w:tc>
        <w:tc>
          <w:tcPr>
            <w:tcW w:w="1123"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70,0</w:t>
            </w:r>
          </w:p>
        </w:tc>
      </w:tr>
      <w:tr w:rsidR="00D35DC7">
        <w:trPr>
          <w:trHeight w:val="1290"/>
        </w:trPr>
        <w:tc>
          <w:tcPr>
            <w:tcW w:w="1108"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3.44</w:t>
            </w:r>
          </w:p>
        </w:tc>
        <w:tc>
          <w:tcPr>
            <w:tcW w:w="2576"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Certificaciones en formación para el trabajo y/o competencias en habilidades laborales específicas</w:t>
            </w:r>
          </w:p>
        </w:tc>
        <w:tc>
          <w:tcPr>
            <w:tcW w:w="2052"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Secretaría Distrital de Desarrollo Económico</w:t>
            </w:r>
          </w:p>
        </w:tc>
        <w:tc>
          <w:tcPr>
            <w:tcW w:w="659"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2020 -2023</w:t>
            </w:r>
          </w:p>
        </w:tc>
        <w:tc>
          <w:tcPr>
            <w:tcW w:w="131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 xml:space="preserve">          </w:t>
            </w:r>
            <w:r>
              <w:rPr>
                <w:rFonts w:ascii="Arial" w:eastAsia="Arial" w:hAnsi="Arial" w:cs="Arial"/>
                <w:b/>
                <w:sz w:val="20"/>
                <w:szCs w:val="20"/>
              </w:rPr>
              <w:tab/>
              <w:t>36.873</w:t>
            </w:r>
          </w:p>
        </w:tc>
        <w:tc>
          <w:tcPr>
            <w:tcW w:w="1123"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 xml:space="preserve">    </w:t>
            </w:r>
            <w:r>
              <w:rPr>
                <w:rFonts w:ascii="Arial" w:eastAsia="Arial" w:hAnsi="Arial" w:cs="Arial"/>
                <w:b/>
                <w:sz w:val="20"/>
                <w:szCs w:val="20"/>
              </w:rPr>
              <w:tab/>
              <w:t>62.500</w:t>
            </w:r>
          </w:p>
        </w:tc>
      </w:tr>
      <w:tr w:rsidR="00D35DC7">
        <w:trPr>
          <w:trHeight w:val="855"/>
        </w:trPr>
        <w:tc>
          <w:tcPr>
            <w:tcW w:w="1108"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3.45</w:t>
            </w:r>
          </w:p>
        </w:tc>
        <w:tc>
          <w:tcPr>
            <w:tcW w:w="2576"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Colocaciones en el mercado laboral</w:t>
            </w:r>
          </w:p>
        </w:tc>
        <w:tc>
          <w:tcPr>
            <w:tcW w:w="2052"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Secretaría Distrital de Desarrollo Económico</w:t>
            </w:r>
          </w:p>
        </w:tc>
        <w:tc>
          <w:tcPr>
            <w:tcW w:w="659"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2023</w:t>
            </w:r>
          </w:p>
        </w:tc>
        <w:tc>
          <w:tcPr>
            <w:tcW w:w="131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 xml:space="preserve">         </w:t>
            </w:r>
            <w:r>
              <w:rPr>
                <w:rFonts w:ascii="Arial" w:eastAsia="Arial" w:hAnsi="Arial" w:cs="Arial"/>
                <w:b/>
                <w:sz w:val="20"/>
                <w:szCs w:val="20"/>
              </w:rPr>
              <w:tab/>
              <w:t>151.703</w:t>
            </w:r>
          </w:p>
        </w:tc>
        <w:tc>
          <w:tcPr>
            <w:tcW w:w="1123"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 xml:space="preserve">   </w:t>
            </w:r>
            <w:r>
              <w:rPr>
                <w:rFonts w:ascii="Arial" w:eastAsia="Arial" w:hAnsi="Arial" w:cs="Arial"/>
                <w:b/>
                <w:sz w:val="20"/>
                <w:szCs w:val="20"/>
              </w:rPr>
              <w:tab/>
              <w:t>125.000</w:t>
            </w:r>
          </w:p>
        </w:tc>
      </w:tr>
      <w:tr w:rsidR="00D35DC7">
        <w:trPr>
          <w:trHeight w:val="855"/>
        </w:trPr>
        <w:tc>
          <w:tcPr>
            <w:tcW w:w="1108"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3.46</w:t>
            </w:r>
          </w:p>
        </w:tc>
        <w:tc>
          <w:tcPr>
            <w:tcW w:w="2576"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Empresas que incrementan su nivel de productividad</w:t>
            </w:r>
          </w:p>
        </w:tc>
        <w:tc>
          <w:tcPr>
            <w:tcW w:w="2052"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Secretaría Distrital de Desarrollo Económico</w:t>
            </w:r>
          </w:p>
        </w:tc>
        <w:tc>
          <w:tcPr>
            <w:tcW w:w="659"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color w:val="1F1F1F"/>
                <w:sz w:val="20"/>
                <w:szCs w:val="20"/>
              </w:rPr>
            </w:pPr>
            <w:r>
              <w:rPr>
                <w:rFonts w:ascii="Arial" w:eastAsia="Arial" w:hAnsi="Arial" w:cs="Arial"/>
                <w:b/>
                <w:color w:val="1F1F1F"/>
                <w:sz w:val="20"/>
                <w:szCs w:val="20"/>
              </w:rPr>
              <w:t>No Aplica</w:t>
            </w:r>
          </w:p>
        </w:tc>
        <w:tc>
          <w:tcPr>
            <w:tcW w:w="131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 xml:space="preserve"> No Aplica</w:t>
            </w:r>
          </w:p>
        </w:tc>
        <w:tc>
          <w:tcPr>
            <w:tcW w:w="1123"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 xml:space="preserve">       </w:t>
            </w:r>
            <w:r>
              <w:rPr>
                <w:rFonts w:ascii="Arial" w:eastAsia="Arial" w:hAnsi="Arial" w:cs="Arial"/>
                <w:b/>
                <w:sz w:val="20"/>
                <w:szCs w:val="20"/>
              </w:rPr>
              <w:tab/>
              <w:t>1.053</w:t>
            </w:r>
          </w:p>
        </w:tc>
      </w:tr>
    </w:tbl>
    <w:p w:rsidR="00D35DC7" w:rsidRDefault="00982954">
      <w:pPr>
        <w:spacing w:before="240" w:after="240" w:line="360" w:lineRule="auto"/>
        <w:rPr>
          <w:rFonts w:ascii="Arial" w:eastAsia="Arial" w:hAnsi="Arial" w:cs="Arial"/>
          <w:b/>
        </w:rPr>
      </w:pPr>
      <w:r>
        <w:rPr>
          <w:rFonts w:ascii="Arial" w:eastAsia="Arial" w:hAnsi="Arial" w:cs="Arial"/>
          <w:b/>
        </w:rPr>
        <w:t xml:space="preserve"> </w:t>
      </w:r>
    </w:p>
    <w:p w:rsidR="00D35DC7" w:rsidRDefault="00982954">
      <w:pPr>
        <w:spacing w:before="240" w:after="240" w:line="360" w:lineRule="auto"/>
        <w:rPr>
          <w:rFonts w:ascii="Arial" w:eastAsia="Arial" w:hAnsi="Arial" w:cs="Arial"/>
          <w:b/>
        </w:rPr>
      </w:pPr>
      <w:r>
        <w:rPr>
          <w:rFonts w:ascii="Arial" w:eastAsia="Arial" w:hAnsi="Arial" w:cs="Arial"/>
          <w:b/>
        </w:rPr>
        <w:t>OBJETIVO 4.</w:t>
      </w:r>
    </w:p>
    <w:tbl>
      <w:tblPr>
        <w:tblStyle w:val="ad"/>
        <w:tblW w:w="8838"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1107"/>
        <w:gridCol w:w="2573"/>
        <w:gridCol w:w="2079"/>
        <w:gridCol w:w="657"/>
        <w:gridCol w:w="1301"/>
        <w:gridCol w:w="1121"/>
      </w:tblGrid>
      <w:tr w:rsidR="00D35DC7">
        <w:trPr>
          <w:trHeight w:val="855"/>
        </w:trPr>
        <w:tc>
          <w:tcPr>
            <w:tcW w:w="1106" w:type="dxa"/>
            <w:tcBorders>
              <w:top w:val="single" w:sz="6" w:space="0" w:color="000000"/>
              <w:left w:val="single" w:sz="6" w:space="0" w:color="000000"/>
              <w:bottom w:val="single" w:sz="6" w:space="0" w:color="000000"/>
              <w:right w:val="single" w:sz="6" w:space="0" w:color="000000"/>
            </w:tcBorders>
            <w:shd w:val="clear" w:color="auto" w:fill="D0D0D0"/>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ID Meta Estratégica</w:t>
            </w:r>
          </w:p>
        </w:tc>
        <w:tc>
          <w:tcPr>
            <w:tcW w:w="2572" w:type="dxa"/>
            <w:tcBorders>
              <w:top w:val="single" w:sz="6" w:space="0" w:color="000000"/>
              <w:left w:val="nil"/>
              <w:bottom w:val="single" w:sz="6" w:space="0" w:color="000000"/>
              <w:right w:val="single" w:sz="6" w:space="0" w:color="000000"/>
            </w:tcBorders>
            <w:shd w:val="clear" w:color="auto" w:fill="D0D0D0"/>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Nombre Indicador</w:t>
            </w:r>
          </w:p>
        </w:tc>
        <w:tc>
          <w:tcPr>
            <w:tcW w:w="2078" w:type="dxa"/>
            <w:tcBorders>
              <w:top w:val="single" w:sz="6" w:space="0" w:color="000000"/>
              <w:left w:val="nil"/>
              <w:bottom w:val="single" w:sz="6" w:space="0" w:color="000000"/>
              <w:right w:val="single" w:sz="6" w:space="0" w:color="000000"/>
            </w:tcBorders>
            <w:shd w:val="clear" w:color="auto" w:fill="D0D0D0"/>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Fuente de línea base</w:t>
            </w:r>
          </w:p>
        </w:tc>
        <w:tc>
          <w:tcPr>
            <w:tcW w:w="657" w:type="dxa"/>
            <w:tcBorders>
              <w:top w:val="single" w:sz="6" w:space="0" w:color="000000"/>
              <w:left w:val="nil"/>
              <w:bottom w:val="single" w:sz="6" w:space="0" w:color="000000"/>
              <w:right w:val="single" w:sz="6" w:space="0" w:color="000000"/>
            </w:tcBorders>
            <w:shd w:val="clear" w:color="auto" w:fill="D0D0D0"/>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Año línea base</w:t>
            </w:r>
          </w:p>
        </w:tc>
        <w:tc>
          <w:tcPr>
            <w:tcW w:w="1301" w:type="dxa"/>
            <w:tcBorders>
              <w:top w:val="single" w:sz="6" w:space="0" w:color="000000"/>
              <w:left w:val="nil"/>
              <w:bottom w:val="single" w:sz="6" w:space="0" w:color="000000"/>
              <w:right w:val="single" w:sz="6" w:space="0" w:color="000000"/>
            </w:tcBorders>
            <w:shd w:val="clear" w:color="auto" w:fill="D0D0D0"/>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Valor de la línea base</w:t>
            </w:r>
          </w:p>
        </w:tc>
        <w:tc>
          <w:tcPr>
            <w:tcW w:w="1121" w:type="dxa"/>
            <w:tcBorders>
              <w:top w:val="single" w:sz="6" w:space="0" w:color="000000"/>
              <w:left w:val="nil"/>
              <w:bottom w:val="single" w:sz="6" w:space="0" w:color="000000"/>
              <w:right w:val="single" w:sz="6" w:space="0" w:color="000000"/>
            </w:tcBorders>
            <w:shd w:val="clear" w:color="auto" w:fill="D0D0D0"/>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Meta proyectada 2027</w:t>
            </w:r>
          </w:p>
        </w:tc>
      </w:tr>
      <w:tr w:rsidR="00D35DC7">
        <w:trPr>
          <w:trHeight w:val="1035"/>
        </w:trPr>
        <w:tc>
          <w:tcPr>
            <w:tcW w:w="1106"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4.47</w:t>
            </w:r>
          </w:p>
        </w:tc>
        <w:tc>
          <w:tcPr>
            <w:tcW w:w="2572"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Porcentaje de viajes en modos sostenibles en un día típico de los hogares de Bogotá</w:t>
            </w:r>
          </w:p>
        </w:tc>
        <w:tc>
          <w:tcPr>
            <w:tcW w:w="207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Encuesta de Movilidad 2023</w:t>
            </w:r>
          </w:p>
        </w:tc>
        <w:tc>
          <w:tcPr>
            <w:tcW w:w="65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2023</w:t>
            </w:r>
          </w:p>
        </w:tc>
        <w:tc>
          <w:tcPr>
            <w:tcW w:w="1301"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69,6</w:t>
            </w:r>
          </w:p>
        </w:tc>
        <w:tc>
          <w:tcPr>
            <w:tcW w:w="1121"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74,0</w:t>
            </w:r>
          </w:p>
        </w:tc>
      </w:tr>
      <w:tr w:rsidR="00D35DC7">
        <w:trPr>
          <w:trHeight w:val="870"/>
        </w:trPr>
        <w:tc>
          <w:tcPr>
            <w:tcW w:w="1106"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4.48</w:t>
            </w:r>
          </w:p>
        </w:tc>
        <w:tc>
          <w:tcPr>
            <w:tcW w:w="2572"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Porcentaje de avance de la PLMB Tramo I</w:t>
            </w:r>
          </w:p>
        </w:tc>
        <w:tc>
          <w:tcPr>
            <w:tcW w:w="207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Sistema de Seguimiento al Plan de Desarrollo Distrital</w:t>
            </w:r>
          </w:p>
        </w:tc>
        <w:tc>
          <w:tcPr>
            <w:tcW w:w="65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2023</w:t>
            </w:r>
          </w:p>
        </w:tc>
        <w:tc>
          <w:tcPr>
            <w:tcW w:w="1301"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29,0</w:t>
            </w:r>
          </w:p>
        </w:tc>
        <w:tc>
          <w:tcPr>
            <w:tcW w:w="1121"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99,7</w:t>
            </w:r>
          </w:p>
        </w:tc>
      </w:tr>
      <w:tr w:rsidR="00D35DC7">
        <w:trPr>
          <w:trHeight w:val="870"/>
        </w:trPr>
        <w:tc>
          <w:tcPr>
            <w:tcW w:w="1106"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4.49</w:t>
            </w:r>
          </w:p>
        </w:tc>
        <w:tc>
          <w:tcPr>
            <w:tcW w:w="2572"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Kilómetros de troncales en operación del sistema de transporte público</w:t>
            </w:r>
          </w:p>
        </w:tc>
        <w:tc>
          <w:tcPr>
            <w:tcW w:w="207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Instituto de Desarrollo Urbano</w:t>
            </w:r>
          </w:p>
        </w:tc>
        <w:tc>
          <w:tcPr>
            <w:tcW w:w="65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2023</w:t>
            </w:r>
          </w:p>
        </w:tc>
        <w:tc>
          <w:tcPr>
            <w:tcW w:w="1301"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114</w:t>
            </w:r>
          </w:p>
        </w:tc>
        <w:tc>
          <w:tcPr>
            <w:tcW w:w="1121"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143</w:t>
            </w:r>
          </w:p>
        </w:tc>
      </w:tr>
      <w:tr w:rsidR="00D35DC7">
        <w:trPr>
          <w:trHeight w:val="1545"/>
        </w:trPr>
        <w:tc>
          <w:tcPr>
            <w:tcW w:w="1106"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4.50</w:t>
            </w:r>
          </w:p>
        </w:tc>
        <w:tc>
          <w:tcPr>
            <w:tcW w:w="2572"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Número de hectáreas netas de suelo viabilizadas para el desarrollo de proyectos estratégicos de ciudad, que aportan al desarrollo de Bogotá</w:t>
            </w:r>
          </w:p>
        </w:tc>
        <w:tc>
          <w:tcPr>
            <w:tcW w:w="207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Secretaría Distrital de Planeación</w:t>
            </w:r>
          </w:p>
        </w:tc>
        <w:tc>
          <w:tcPr>
            <w:tcW w:w="65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2020 -2023</w:t>
            </w:r>
          </w:p>
        </w:tc>
        <w:tc>
          <w:tcPr>
            <w:tcW w:w="1301"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 xml:space="preserve">             </w:t>
            </w:r>
            <w:r>
              <w:rPr>
                <w:rFonts w:ascii="Arial" w:eastAsia="Arial" w:hAnsi="Arial" w:cs="Arial"/>
                <w:b/>
                <w:sz w:val="20"/>
                <w:szCs w:val="20"/>
              </w:rPr>
              <w:tab/>
              <w:t>1.150</w:t>
            </w:r>
          </w:p>
        </w:tc>
        <w:tc>
          <w:tcPr>
            <w:tcW w:w="1121"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 xml:space="preserve">          </w:t>
            </w:r>
            <w:r>
              <w:rPr>
                <w:rFonts w:ascii="Arial" w:eastAsia="Arial" w:hAnsi="Arial" w:cs="Arial"/>
                <w:b/>
                <w:sz w:val="20"/>
                <w:szCs w:val="20"/>
              </w:rPr>
              <w:tab/>
              <w:t>143</w:t>
            </w:r>
          </w:p>
        </w:tc>
      </w:tr>
      <w:tr w:rsidR="00D35DC7">
        <w:trPr>
          <w:trHeight w:val="870"/>
        </w:trPr>
        <w:tc>
          <w:tcPr>
            <w:tcW w:w="1106"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4.51</w:t>
            </w:r>
          </w:p>
        </w:tc>
        <w:tc>
          <w:tcPr>
            <w:tcW w:w="2572"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Número de cables construidos</w:t>
            </w:r>
          </w:p>
        </w:tc>
        <w:tc>
          <w:tcPr>
            <w:tcW w:w="207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Instituto de Desarrollo Urbano</w:t>
            </w:r>
          </w:p>
        </w:tc>
        <w:tc>
          <w:tcPr>
            <w:tcW w:w="65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2023</w:t>
            </w:r>
          </w:p>
        </w:tc>
        <w:tc>
          <w:tcPr>
            <w:tcW w:w="1301"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1</w:t>
            </w:r>
          </w:p>
        </w:tc>
        <w:tc>
          <w:tcPr>
            <w:tcW w:w="1121"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w:t>
            </w:r>
          </w:p>
        </w:tc>
      </w:tr>
      <w:tr w:rsidR="00D35DC7">
        <w:trPr>
          <w:trHeight w:val="870"/>
        </w:trPr>
        <w:tc>
          <w:tcPr>
            <w:tcW w:w="1106"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4.52</w:t>
            </w:r>
          </w:p>
        </w:tc>
        <w:tc>
          <w:tcPr>
            <w:tcW w:w="2572"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Número de viviendas VIS y VIP en Bogotá promovidas para su iniciación</w:t>
            </w:r>
          </w:p>
        </w:tc>
        <w:tc>
          <w:tcPr>
            <w:tcW w:w="207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Secretaría Distrital del Hábitat</w:t>
            </w:r>
          </w:p>
        </w:tc>
        <w:tc>
          <w:tcPr>
            <w:tcW w:w="65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2020 -2023</w:t>
            </w:r>
          </w:p>
        </w:tc>
        <w:tc>
          <w:tcPr>
            <w:tcW w:w="1301"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 xml:space="preserve">         </w:t>
            </w:r>
            <w:r>
              <w:rPr>
                <w:rFonts w:ascii="Arial" w:eastAsia="Arial" w:hAnsi="Arial" w:cs="Arial"/>
                <w:b/>
                <w:sz w:val="20"/>
                <w:szCs w:val="20"/>
              </w:rPr>
              <w:tab/>
              <w:t>68.467</w:t>
            </w:r>
          </w:p>
        </w:tc>
        <w:tc>
          <w:tcPr>
            <w:tcW w:w="1121"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 xml:space="preserve">    </w:t>
            </w:r>
            <w:r>
              <w:rPr>
                <w:rFonts w:ascii="Arial" w:eastAsia="Arial" w:hAnsi="Arial" w:cs="Arial"/>
                <w:b/>
                <w:sz w:val="20"/>
                <w:szCs w:val="20"/>
              </w:rPr>
              <w:tab/>
              <w:t>80.000</w:t>
            </w:r>
          </w:p>
        </w:tc>
      </w:tr>
      <w:tr w:rsidR="00D35DC7">
        <w:trPr>
          <w:trHeight w:val="870"/>
        </w:trPr>
        <w:tc>
          <w:tcPr>
            <w:tcW w:w="1106"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4.53</w:t>
            </w:r>
          </w:p>
        </w:tc>
        <w:tc>
          <w:tcPr>
            <w:tcW w:w="2572"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Concentración de PM10 (promedio ponderado en microgramos sobre m3)</w:t>
            </w:r>
          </w:p>
        </w:tc>
        <w:tc>
          <w:tcPr>
            <w:tcW w:w="207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Secretaría Distrital de Ambiente</w:t>
            </w:r>
          </w:p>
        </w:tc>
        <w:tc>
          <w:tcPr>
            <w:tcW w:w="65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2023</w:t>
            </w:r>
          </w:p>
        </w:tc>
        <w:tc>
          <w:tcPr>
            <w:tcW w:w="1301"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36,2</w:t>
            </w:r>
          </w:p>
        </w:tc>
        <w:tc>
          <w:tcPr>
            <w:tcW w:w="1121"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33,3</w:t>
            </w:r>
          </w:p>
        </w:tc>
      </w:tr>
      <w:tr w:rsidR="00D35DC7">
        <w:trPr>
          <w:trHeight w:val="870"/>
        </w:trPr>
        <w:tc>
          <w:tcPr>
            <w:tcW w:w="1106"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4.54</w:t>
            </w:r>
          </w:p>
        </w:tc>
        <w:tc>
          <w:tcPr>
            <w:tcW w:w="2572"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Concentración de PM2,5 (promedio ponderado en microgramos sobre m3)</w:t>
            </w:r>
          </w:p>
        </w:tc>
        <w:tc>
          <w:tcPr>
            <w:tcW w:w="207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Secretaría Distrital de Ambiente</w:t>
            </w:r>
          </w:p>
        </w:tc>
        <w:tc>
          <w:tcPr>
            <w:tcW w:w="65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2023</w:t>
            </w:r>
          </w:p>
        </w:tc>
        <w:tc>
          <w:tcPr>
            <w:tcW w:w="1301"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17,8</w:t>
            </w:r>
          </w:p>
        </w:tc>
        <w:tc>
          <w:tcPr>
            <w:tcW w:w="1121"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16,4</w:t>
            </w:r>
          </w:p>
        </w:tc>
      </w:tr>
      <w:tr w:rsidR="00D35DC7">
        <w:trPr>
          <w:trHeight w:val="1290"/>
        </w:trPr>
        <w:tc>
          <w:tcPr>
            <w:tcW w:w="1106"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4.55</w:t>
            </w:r>
          </w:p>
        </w:tc>
        <w:tc>
          <w:tcPr>
            <w:tcW w:w="2572"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Número toneladas de emisiones de Gases de Efecto Invernadero (millones de toneladas de CO2 equivalente)</w:t>
            </w:r>
          </w:p>
        </w:tc>
        <w:tc>
          <w:tcPr>
            <w:tcW w:w="207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Inventario de emisiones y absorciones de gases de efecto invernadero (GEI)</w:t>
            </w:r>
          </w:p>
        </w:tc>
        <w:tc>
          <w:tcPr>
            <w:tcW w:w="65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2027</w:t>
            </w:r>
          </w:p>
        </w:tc>
        <w:tc>
          <w:tcPr>
            <w:tcW w:w="1301"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14,4</w:t>
            </w:r>
          </w:p>
        </w:tc>
        <w:tc>
          <w:tcPr>
            <w:tcW w:w="1121"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10,1</w:t>
            </w:r>
          </w:p>
        </w:tc>
      </w:tr>
      <w:tr w:rsidR="00D35DC7">
        <w:trPr>
          <w:trHeight w:val="1035"/>
        </w:trPr>
        <w:tc>
          <w:tcPr>
            <w:tcW w:w="1106"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4.56</w:t>
            </w:r>
          </w:p>
        </w:tc>
        <w:tc>
          <w:tcPr>
            <w:tcW w:w="2572"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Kilogramos de carbono acumulados en las especies forestales del Distrito Capital</w:t>
            </w:r>
          </w:p>
        </w:tc>
        <w:tc>
          <w:tcPr>
            <w:tcW w:w="207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Jardín Botánico de Bogotá</w:t>
            </w:r>
          </w:p>
        </w:tc>
        <w:tc>
          <w:tcPr>
            <w:tcW w:w="65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2023</w:t>
            </w:r>
          </w:p>
        </w:tc>
        <w:tc>
          <w:tcPr>
            <w:tcW w:w="1301"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 xml:space="preserve">       </w:t>
            </w:r>
            <w:r>
              <w:rPr>
                <w:rFonts w:ascii="Arial" w:eastAsia="Arial" w:hAnsi="Arial" w:cs="Arial"/>
                <w:b/>
                <w:sz w:val="20"/>
                <w:szCs w:val="20"/>
              </w:rPr>
              <w:tab/>
              <w:t>198.000</w:t>
            </w:r>
          </w:p>
        </w:tc>
        <w:tc>
          <w:tcPr>
            <w:tcW w:w="1121"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 xml:space="preserve">  </w:t>
            </w:r>
            <w:r>
              <w:rPr>
                <w:rFonts w:ascii="Arial" w:eastAsia="Arial" w:hAnsi="Arial" w:cs="Arial"/>
                <w:b/>
                <w:sz w:val="20"/>
                <w:szCs w:val="20"/>
              </w:rPr>
              <w:tab/>
              <w:t>207.900</w:t>
            </w:r>
          </w:p>
        </w:tc>
      </w:tr>
      <w:tr w:rsidR="00D35DC7">
        <w:trPr>
          <w:trHeight w:val="870"/>
        </w:trPr>
        <w:tc>
          <w:tcPr>
            <w:tcW w:w="1106"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4.57</w:t>
            </w:r>
          </w:p>
        </w:tc>
        <w:tc>
          <w:tcPr>
            <w:tcW w:w="2572"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Número de hectáreas de ecosistemas conservadas</w:t>
            </w:r>
          </w:p>
        </w:tc>
        <w:tc>
          <w:tcPr>
            <w:tcW w:w="207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Secretaria Distrital de Ambiente</w:t>
            </w:r>
          </w:p>
        </w:tc>
        <w:tc>
          <w:tcPr>
            <w:tcW w:w="65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2024</w:t>
            </w:r>
          </w:p>
        </w:tc>
        <w:tc>
          <w:tcPr>
            <w:tcW w:w="1301"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 xml:space="preserve">                  </w:t>
            </w:r>
            <w:r>
              <w:rPr>
                <w:rFonts w:ascii="Arial" w:eastAsia="Arial" w:hAnsi="Arial" w:cs="Arial"/>
                <w:b/>
                <w:sz w:val="20"/>
                <w:szCs w:val="20"/>
              </w:rPr>
              <w:tab/>
              <w:t xml:space="preserve">-  </w:t>
            </w:r>
          </w:p>
        </w:tc>
        <w:tc>
          <w:tcPr>
            <w:tcW w:w="1121"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 xml:space="preserve">          </w:t>
            </w:r>
            <w:r>
              <w:rPr>
                <w:rFonts w:ascii="Arial" w:eastAsia="Arial" w:hAnsi="Arial" w:cs="Arial"/>
                <w:b/>
                <w:sz w:val="20"/>
                <w:szCs w:val="20"/>
              </w:rPr>
              <w:tab/>
              <w:t>250</w:t>
            </w:r>
          </w:p>
        </w:tc>
      </w:tr>
      <w:tr w:rsidR="00D35DC7">
        <w:trPr>
          <w:trHeight w:val="1290"/>
        </w:trPr>
        <w:tc>
          <w:tcPr>
            <w:tcW w:w="1106"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4.58</w:t>
            </w:r>
          </w:p>
        </w:tc>
        <w:tc>
          <w:tcPr>
            <w:tcW w:w="2572"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Porcentaje de puntos de monitoreo con Índice de Calidad del Agua (ICA) en categoría regular, aceptable o buena</w:t>
            </w:r>
          </w:p>
        </w:tc>
        <w:tc>
          <w:tcPr>
            <w:tcW w:w="207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Secretaría Distrital de Ambiente</w:t>
            </w:r>
          </w:p>
        </w:tc>
        <w:tc>
          <w:tcPr>
            <w:tcW w:w="65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2022</w:t>
            </w:r>
          </w:p>
        </w:tc>
        <w:tc>
          <w:tcPr>
            <w:tcW w:w="1301"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35,9</w:t>
            </w:r>
          </w:p>
        </w:tc>
        <w:tc>
          <w:tcPr>
            <w:tcW w:w="1121"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45,0</w:t>
            </w:r>
          </w:p>
        </w:tc>
      </w:tr>
      <w:tr w:rsidR="00D35DC7">
        <w:trPr>
          <w:trHeight w:val="1290"/>
        </w:trPr>
        <w:tc>
          <w:tcPr>
            <w:tcW w:w="1106"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4.59</w:t>
            </w:r>
          </w:p>
        </w:tc>
        <w:tc>
          <w:tcPr>
            <w:tcW w:w="2572"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Toneladas de residuos (promedio día) que se disponen en el Parque de Innovación Doña Juana</w:t>
            </w:r>
          </w:p>
        </w:tc>
        <w:tc>
          <w:tcPr>
            <w:tcW w:w="207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Unidad Administrativa Especial de Servicios Públicos</w:t>
            </w:r>
          </w:p>
        </w:tc>
        <w:tc>
          <w:tcPr>
            <w:tcW w:w="65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2023</w:t>
            </w:r>
          </w:p>
        </w:tc>
        <w:tc>
          <w:tcPr>
            <w:tcW w:w="1301"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 xml:space="preserve">           </w:t>
            </w:r>
            <w:r>
              <w:rPr>
                <w:rFonts w:ascii="Arial" w:eastAsia="Arial" w:hAnsi="Arial" w:cs="Arial"/>
                <w:b/>
                <w:sz w:val="20"/>
                <w:szCs w:val="20"/>
              </w:rPr>
              <w:tab/>
              <w:t>6.000</w:t>
            </w:r>
          </w:p>
        </w:tc>
        <w:tc>
          <w:tcPr>
            <w:tcW w:w="1121"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 xml:space="preserve">      </w:t>
            </w:r>
            <w:r>
              <w:rPr>
                <w:rFonts w:ascii="Arial" w:eastAsia="Arial" w:hAnsi="Arial" w:cs="Arial"/>
                <w:b/>
                <w:sz w:val="20"/>
                <w:szCs w:val="20"/>
              </w:rPr>
              <w:tab/>
              <w:t>4.800</w:t>
            </w:r>
          </w:p>
        </w:tc>
      </w:tr>
      <w:tr w:rsidR="00D35DC7">
        <w:trPr>
          <w:trHeight w:val="1035"/>
        </w:trPr>
        <w:tc>
          <w:tcPr>
            <w:tcW w:w="1106"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4.60</w:t>
            </w:r>
          </w:p>
        </w:tc>
        <w:tc>
          <w:tcPr>
            <w:tcW w:w="2572"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Índice de pérdidas por suscriptor facturado (m3/mes no facturados por usuario)</w:t>
            </w:r>
          </w:p>
        </w:tc>
        <w:tc>
          <w:tcPr>
            <w:tcW w:w="207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Empresa de Acueducto y Alcantarillado de Bogotá</w:t>
            </w:r>
          </w:p>
        </w:tc>
        <w:tc>
          <w:tcPr>
            <w:tcW w:w="65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2023</w:t>
            </w:r>
          </w:p>
        </w:tc>
        <w:tc>
          <w:tcPr>
            <w:tcW w:w="1301"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6,40</w:t>
            </w:r>
          </w:p>
        </w:tc>
        <w:tc>
          <w:tcPr>
            <w:tcW w:w="1121"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6,32</w:t>
            </w:r>
          </w:p>
        </w:tc>
      </w:tr>
      <w:tr w:rsidR="00D35DC7">
        <w:trPr>
          <w:trHeight w:val="1590"/>
        </w:trPr>
        <w:tc>
          <w:tcPr>
            <w:tcW w:w="1106"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4.61</w:t>
            </w:r>
          </w:p>
        </w:tc>
        <w:tc>
          <w:tcPr>
            <w:tcW w:w="2572"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Número de hogares rurales con cobertura, calidad y continuidad de la prestación de los Servicios Públicos domiciliarios y TIC mejorada</w:t>
            </w:r>
          </w:p>
        </w:tc>
        <w:tc>
          <w:tcPr>
            <w:tcW w:w="207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Secretaría Distrital del Hábitat</w:t>
            </w:r>
          </w:p>
        </w:tc>
        <w:tc>
          <w:tcPr>
            <w:tcW w:w="65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No Aplica</w:t>
            </w:r>
          </w:p>
        </w:tc>
        <w:tc>
          <w:tcPr>
            <w:tcW w:w="1301"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No Aplica</w:t>
            </w:r>
          </w:p>
        </w:tc>
        <w:tc>
          <w:tcPr>
            <w:tcW w:w="1121"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 xml:space="preserve"> Mantener en 2.000</w:t>
            </w:r>
          </w:p>
        </w:tc>
      </w:tr>
      <w:tr w:rsidR="00D35DC7">
        <w:trPr>
          <w:trHeight w:val="1215"/>
        </w:trPr>
        <w:tc>
          <w:tcPr>
            <w:tcW w:w="1106"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4.62</w:t>
            </w:r>
          </w:p>
        </w:tc>
        <w:tc>
          <w:tcPr>
            <w:tcW w:w="2572"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Índice de reconocimiento de los patrimonios integrados (Porcentaje)</w:t>
            </w:r>
          </w:p>
        </w:tc>
        <w:tc>
          <w:tcPr>
            <w:tcW w:w="207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EBC - Encuesta de Prácticas Artísticas, Culturales, Creativas y patrimoniales</w:t>
            </w:r>
          </w:p>
        </w:tc>
        <w:tc>
          <w:tcPr>
            <w:tcW w:w="65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2023</w:t>
            </w:r>
          </w:p>
        </w:tc>
        <w:tc>
          <w:tcPr>
            <w:tcW w:w="1301"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47</w:t>
            </w:r>
          </w:p>
        </w:tc>
        <w:tc>
          <w:tcPr>
            <w:tcW w:w="1121"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53</w:t>
            </w:r>
          </w:p>
        </w:tc>
      </w:tr>
    </w:tbl>
    <w:p w:rsidR="00D35DC7" w:rsidRDefault="00982954">
      <w:pPr>
        <w:spacing w:before="240" w:after="240" w:line="360" w:lineRule="auto"/>
        <w:rPr>
          <w:rFonts w:ascii="Arial" w:eastAsia="Arial" w:hAnsi="Arial" w:cs="Arial"/>
          <w:b/>
        </w:rPr>
      </w:pPr>
      <w:r>
        <w:rPr>
          <w:rFonts w:ascii="Arial" w:eastAsia="Arial" w:hAnsi="Arial" w:cs="Arial"/>
          <w:b/>
        </w:rPr>
        <w:t xml:space="preserve"> </w:t>
      </w:r>
    </w:p>
    <w:p w:rsidR="00D35DC7" w:rsidRDefault="00982954">
      <w:pPr>
        <w:spacing w:before="240" w:after="240" w:line="360" w:lineRule="auto"/>
        <w:rPr>
          <w:rFonts w:ascii="Arial" w:eastAsia="Arial" w:hAnsi="Arial" w:cs="Arial"/>
          <w:b/>
        </w:rPr>
      </w:pPr>
      <w:r>
        <w:rPr>
          <w:rFonts w:ascii="Arial" w:eastAsia="Arial" w:hAnsi="Arial" w:cs="Arial"/>
          <w:b/>
        </w:rPr>
        <w:t xml:space="preserve"> </w:t>
      </w:r>
    </w:p>
    <w:p w:rsidR="00D35DC7" w:rsidRDefault="00982954">
      <w:pPr>
        <w:spacing w:before="240" w:after="240" w:line="360" w:lineRule="auto"/>
        <w:rPr>
          <w:rFonts w:ascii="Arial" w:eastAsia="Arial" w:hAnsi="Arial" w:cs="Arial"/>
          <w:b/>
        </w:rPr>
      </w:pPr>
      <w:r>
        <w:rPr>
          <w:rFonts w:ascii="Arial" w:eastAsia="Arial" w:hAnsi="Arial" w:cs="Arial"/>
          <w:b/>
        </w:rPr>
        <w:t xml:space="preserve"> </w:t>
      </w:r>
    </w:p>
    <w:p w:rsidR="00D35DC7" w:rsidRDefault="00982954">
      <w:pPr>
        <w:spacing w:before="240" w:after="240" w:line="360" w:lineRule="auto"/>
        <w:rPr>
          <w:rFonts w:ascii="Arial" w:eastAsia="Arial" w:hAnsi="Arial" w:cs="Arial"/>
          <w:b/>
        </w:rPr>
      </w:pPr>
      <w:r>
        <w:rPr>
          <w:rFonts w:ascii="Arial" w:eastAsia="Arial" w:hAnsi="Arial" w:cs="Arial"/>
          <w:b/>
        </w:rPr>
        <w:t xml:space="preserve"> </w:t>
      </w:r>
    </w:p>
    <w:p w:rsidR="00D35DC7" w:rsidRDefault="00982954">
      <w:pPr>
        <w:spacing w:before="240" w:after="240" w:line="360" w:lineRule="auto"/>
        <w:rPr>
          <w:rFonts w:ascii="Arial" w:eastAsia="Arial" w:hAnsi="Arial" w:cs="Arial"/>
          <w:b/>
        </w:rPr>
      </w:pPr>
      <w:r>
        <w:rPr>
          <w:rFonts w:ascii="Arial" w:eastAsia="Arial" w:hAnsi="Arial" w:cs="Arial"/>
          <w:b/>
        </w:rPr>
        <w:t>OBJETIVO 5.</w:t>
      </w:r>
    </w:p>
    <w:tbl>
      <w:tblPr>
        <w:tblStyle w:val="ae"/>
        <w:tblW w:w="8838"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1104"/>
        <w:gridCol w:w="2598"/>
        <w:gridCol w:w="2105"/>
        <w:gridCol w:w="612"/>
        <w:gridCol w:w="1299"/>
        <w:gridCol w:w="1120"/>
      </w:tblGrid>
      <w:tr w:rsidR="00D35DC7">
        <w:trPr>
          <w:trHeight w:val="1215"/>
        </w:trPr>
        <w:tc>
          <w:tcPr>
            <w:tcW w:w="1104" w:type="dxa"/>
            <w:tcBorders>
              <w:top w:val="single" w:sz="6" w:space="0" w:color="000000"/>
              <w:left w:val="single" w:sz="6" w:space="0" w:color="000000"/>
              <w:bottom w:val="single" w:sz="6" w:space="0" w:color="000000"/>
              <w:right w:val="single" w:sz="6" w:space="0" w:color="000000"/>
            </w:tcBorders>
            <w:shd w:val="clear" w:color="auto" w:fill="D0D0D0"/>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ID Meta Estratégica</w:t>
            </w:r>
          </w:p>
        </w:tc>
        <w:tc>
          <w:tcPr>
            <w:tcW w:w="2597" w:type="dxa"/>
            <w:tcBorders>
              <w:top w:val="single" w:sz="6" w:space="0" w:color="000000"/>
              <w:left w:val="nil"/>
              <w:bottom w:val="single" w:sz="6" w:space="0" w:color="000000"/>
              <w:right w:val="single" w:sz="6" w:space="0" w:color="000000"/>
            </w:tcBorders>
            <w:shd w:val="clear" w:color="auto" w:fill="D0D0D0"/>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Nombre Indicador</w:t>
            </w:r>
          </w:p>
        </w:tc>
        <w:tc>
          <w:tcPr>
            <w:tcW w:w="2104" w:type="dxa"/>
            <w:tcBorders>
              <w:top w:val="single" w:sz="6" w:space="0" w:color="000000"/>
              <w:left w:val="nil"/>
              <w:bottom w:val="single" w:sz="6" w:space="0" w:color="000000"/>
              <w:right w:val="single" w:sz="6" w:space="0" w:color="000000"/>
            </w:tcBorders>
            <w:shd w:val="clear" w:color="auto" w:fill="D0D0D0"/>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Fuente de línea base</w:t>
            </w:r>
          </w:p>
        </w:tc>
        <w:tc>
          <w:tcPr>
            <w:tcW w:w="612" w:type="dxa"/>
            <w:tcBorders>
              <w:top w:val="single" w:sz="6" w:space="0" w:color="000000"/>
              <w:left w:val="nil"/>
              <w:bottom w:val="single" w:sz="6" w:space="0" w:color="000000"/>
              <w:right w:val="single" w:sz="6" w:space="0" w:color="000000"/>
            </w:tcBorders>
            <w:shd w:val="clear" w:color="auto" w:fill="D0D0D0"/>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Año línea base</w:t>
            </w:r>
          </w:p>
        </w:tc>
        <w:tc>
          <w:tcPr>
            <w:tcW w:w="1298" w:type="dxa"/>
            <w:tcBorders>
              <w:top w:val="single" w:sz="6" w:space="0" w:color="000000"/>
              <w:left w:val="nil"/>
              <w:bottom w:val="single" w:sz="6" w:space="0" w:color="000000"/>
              <w:right w:val="single" w:sz="6" w:space="0" w:color="000000"/>
            </w:tcBorders>
            <w:shd w:val="clear" w:color="auto" w:fill="D0D0D0"/>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Valor de la línea base</w:t>
            </w:r>
          </w:p>
        </w:tc>
        <w:tc>
          <w:tcPr>
            <w:tcW w:w="1119" w:type="dxa"/>
            <w:tcBorders>
              <w:top w:val="single" w:sz="6" w:space="0" w:color="000000"/>
              <w:left w:val="nil"/>
              <w:bottom w:val="single" w:sz="6" w:space="0" w:color="000000"/>
              <w:right w:val="single" w:sz="6" w:space="0" w:color="000000"/>
            </w:tcBorders>
            <w:shd w:val="clear" w:color="auto" w:fill="D0D0D0"/>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Meta proyectada 2027</w:t>
            </w:r>
          </w:p>
        </w:tc>
      </w:tr>
      <w:tr w:rsidR="00D35DC7">
        <w:trPr>
          <w:trHeight w:val="1230"/>
        </w:trPr>
        <w:tc>
          <w:tcPr>
            <w:tcW w:w="1104"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5.63</w:t>
            </w:r>
          </w:p>
        </w:tc>
        <w:tc>
          <w:tcPr>
            <w:tcW w:w="259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Porcentaje de personas que se sienten orgullosas de vivir en Bogotá</w:t>
            </w:r>
          </w:p>
        </w:tc>
        <w:tc>
          <w:tcPr>
            <w:tcW w:w="2104"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EBC - Encuesta de Indicadores de Cultura Ciudadana y garantía de derechos</w:t>
            </w:r>
          </w:p>
        </w:tc>
        <w:tc>
          <w:tcPr>
            <w:tcW w:w="612"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2023</w:t>
            </w:r>
          </w:p>
        </w:tc>
        <w:tc>
          <w:tcPr>
            <w:tcW w:w="129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52,6</w:t>
            </w:r>
          </w:p>
        </w:tc>
        <w:tc>
          <w:tcPr>
            <w:tcW w:w="1119"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60,0</w:t>
            </w:r>
          </w:p>
        </w:tc>
      </w:tr>
      <w:tr w:rsidR="00D35DC7">
        <w:trPr>
          <w:trHeight w:val="975"/>
        </w:trPr>
        <w:tc>
          <w:tcPr>
            <w:tcW w:w="1104"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5.64</w:t>
            </w:r>
          </w:p>
        </w:tc>
        <w:tc>
          <w:tcPr>
            <w:tcW w:w="259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Índice de Gestión Pública Distrital (Puntos)</w:t>
            </w:r>
          </w:p>
        </w:tc>
        <w:tc>
          <w:tcPr>
            <w:tcW w:w="2104"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Secretaría General</w:t>
            </w:r>
          </w:p>
        </w:tc>
        <w:tc>
          <w:tcPr>
            <w:tcW w:w="612"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2022</w:t>
            </w:r>
          </w:p>
        </w:tc>
        <w:tc>
          <w:tcPr>
            <w:tcW w:w="129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88,5</w:t>
            </w:r>
          </w:p>
        </w:tc>
        <w:tc>
          <w:tcPr>
            <w:tcW w:w="1119"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91,5</w:t>
            </w:r>
          </w:p>
        </w:tc>
      </w:tr>
      <w:tr w:rsidR="00D35DC7">
        <w:trPr>
          <w:trHeight w:val="975"/>
        </w:trPr>
        <w:tc>
          <w:tcPr>
            <w:tcW w:w="1104"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5.65</w:t>
            </w:r>
          </w:p>
        </w:tc>
        <w:tc>
          <w:tcPr>
            <w:tcW w:w="259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Índice de calidad del servicio brindado en las entidades distritales (Porcentaje)</w:t>
            </w:r>
          </w:p>
        </w:tc>
        <w:tc>
          <w:tcPr>
            <w:tcW w:w="2104"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Secretaría General</w:t>
            </w:r>
          </w:p>
        </w:tc>
        <w:tc>
          <w:tcPr>
            <w:tcW w:w="612"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2023</w:t>
            </w:r>
          </w:p>
        </w:tc>
        <w:tc>
          <w:tcPr>
            <w:tcW w:w="129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77,6</w:t>
            </w:r>
          </w:p>
        </w:tc>
        <w:tc>
          <w:tcPr>
            <w:tcW w:w="1119"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85,0</w:t>
            </w:r>
          </w:p>
        </w:tc>
      </w:tr>
      <w:tr w:rsidR="00D35DC7">
        <w:trPr>
          <w:trHeight w:val="975"/>
        </w:trPr>
        <w:tc>
          <w:tcPr>
            <w:tcW w:w="1104"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5.66</w:t>
            </w:r>
          </w:p>
        </w:tc>
        <w:tc>
          <w:tcPr>
            <w:tcW w:w="259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Evasión del Impuesto de Vehículos (Porcentaje)</w:t>
            </w:r>
          </w:p>
        </w:tc>
        <w:tc>
          <w:tcPr>
            <w:tcW w:w="2104"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Dirección de Impuestos Distritales</w:t>
            </w:r>
          </w:p>
        </w:tc>
        <w:tc>
          <w:tcPr>
            <w:tcW w:w="612"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2023</w:t>
            </w:r>
          </w:p>
        </w:tc>
        <w:tc>
          <w:tcPr>
            <w:tcW w:w="129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13,0</w:t>
            </w:r>
          </w:p>
        </w:tc>
        <w:tc>
          <w:tcPr>
            <w:tcW w:w="1119"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10,0</w:t>
            </w:r>
          </w:p>
        </w:tc>
      </w:tr>
      <w:tr w:rsidR="00D35DC7">
        <w:trPr>
          <w:trHeight w:val="975"/>
        </w:trPr>
        <w:tc>
          <w:tcPr>
            <w:tcW w:w="1104"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5.67</w:t>
            </w:r>
          </w:p>
        </w:tc>
        <w:tc>
          <w:tcPr>
            <w:tcW w:w="259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Evasión del Impuesto de Industria y Comercio ICA (Porcentaje)</w:t>
            </w:r>
          </w:p>
        </w:tc>
        <w:tc>
          <w:tcPr>
            <w:tcW w:w="2104"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Dirección de Estadísticas y Estudios Fiscales</w:t>
            </w:r>
          </w:p>
        </w:tc>
        <w:tc>
          <w:tcPr>
            <w:tcW w:w="612"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2023</w:t>
            </w:r>
          </w:p>
        </w:tc>
        <w:tc>
          <w:tcPr>
            <w:tcW w:w="129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w:t>
            </w:r>
          </w:p>
        </w:tc>
        <w:tc>
          <w:tcPr>
            <w:tcW w:w="1119"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18,2</w:t>
            </w:r>
          </w:p>
        </w:tc>
      </w:tr>
      <w:tr w:rsidR="00D35DC7">
        <w:trPr>
          <w:trHeight w:val="975"/>
        </w:trPr>
        <w:tc>
          <w:tcPr>
            <w:tcW w:w="1104"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5.68</w:t>
            </w:r>
          </w:p>
        </w:tc>
        <w:tc>
          <w:tcPr>
            <w:tcW w:w="259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Evasión del Impuesto Predial (Porcentaje)</w:t>
            </w:r>
          </w:p>
        </w:tc>
        <w:tc>
          <w:tcPr>
            <w:tcW w:w="2104"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Dirección de Impuestos Distritales</w:t>
            </w:r>
          </w:p>
        </w:tc>
        <w:tc>
          <w:tcPr>
            <w:tcW w:w="612"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2023</w:t>
            </w:r>
          </w:p>
        </w:tc>
        <w:tc>
          <w:tcPr>
            <w:tcW w:w="129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16,0</w:t>
            </w:r>
          </w:p>
        </w:tc>
        <w:tc>
          <w:tcPr>
            <w:tcW w:w="1119"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12,0</w:t>
            </w:r>
          </w:p>
        </w:tc>
      </w:tr>
      <w:tr w:rsidR="00D35DC7">
        <w:trPr>
          <w:trHeight w:val="975"/>
        </w:trPr>
        <w:tc>
          <w:tcPr>
            <w:tcW w:w="1104"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5.69</w:t>
            </w:r>
          </w:p>
        </w:tc>
        <w:tc>
          <w:tcPr>
            <w:tcW w:w="259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Índice de Desarrollo del Servicio Civil Distrital</w:t>
            </w:r>
          </w:p>
        </w:tc>
        <w:tc>
          <w:tcPr>
            <w:tcW w:w="2104"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Departamento Administrativo del Servicio Civil Distrital</w:t>
            </w:r>
          </w:p>
        </w:tc>
        <w:tc>
          <w:tcPr>
            <w:tcW w:w="612"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2022</w:t>
            </w:r>
          </w:p>
        </w:tc>
        <w:tc>
          <w:tcPr>
            <w:tcW w:w="129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69,7</w:t>
            </w:r>
          </w:p>
        </w:tc>
        <w:tc>
          <w:tcPr>
            <w:tcW w:w="1119"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74,0</w:t>
            </w:r>
          </w:p>
        </w:tc>
      </w:tr>
      <w:tr w:rsidR="00D35DC7">
        <w:trPr>
          <w:trHeight w:val="975"/>
        </w:trPr>
        <w:tc>
          <w:tcPr>
            <w:tcW w:w="1104"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5.70</w:t>
            </w:r>
          </w:p>
        </w:tc>
        <w:tc>
          <w:tcPr>
            <w:tcW w:w="259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Índice de Gobierno Digital</w:t>
            </w:r>
          </w:p>
        </w:tc>
        <w:tc>
          <w:tcPr>
            <w:tcW w:w="2104"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Índice de Gobierno Digital (MinTic)</w:t>
            </w:r>
          </w:p>
        </w:tc>
        <w:tc>
          <w:tcPr>
            <w:tcW w:w="612"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2022</w:t>
            </w:r>
          </w:p>
        </w:tc>
        <w:tc>
          <w:tcPr>
            <w:tcW w:w="129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89,0</w:t>
            </w:r>
          </w:p>
        </w:tc>
        <w:tc>
          <w:tcPr>
            <w:tcW w:w="1119"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95,0</w:t>
            </w:r>
          </w:p>
        </w:tc>
      </w:tr>
      <w:tr w:rsidR="00D35DC7">
        <w:trPr>
          <w:trHeight w:val="1680"/>
        </w:trPr>
        <w:tc>
          <w:tcPr>
            <w:tcW w:w="1104"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5.71</w:t>
            </w:r>
          </w:p>
        </w:tc>
        <w:tc>
          <w:tcPr>
            <w:tcW w:w="259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Hogares con conexión a internet (Porcentaje)</w:t>
            </w:r>
          </w:p>
        </w:tc>
        <w:tc>
          <w:tcPr>
            <w:tcW w:w="2104"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DANE - Encuesta de Tecnologías de la Información y las Comunicaciones en Hogares (ENTIC Hogares)</w:t>
            </w:r>
          </w:p>
        </w:tc>
        <w:tc>
          <w:tcPr>
            <w:tcW w:w="612"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2022</w:t>
            </w:r>
          </w:p>
        </w:tc>
        <w:tc>
          <w:tcPr>
            <w:tcW w:w="129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79,4</w:t>
            </w:r>
          </w:p>
        </w:tc>
        <w:tc>
          <w:tcPr>
            <w:tcW w:w="1119"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85,0</w:t>
            </w:r>
          </w:p>
        </w:tc>
      </w:tr>
      <w:tr w:rsidR="00D35DC7">
        <w:trPr>
          <w:trHeight w:val="975"/>
        </w:trPr>
        <w:tc>
          <w:tcPr>
            <w:tcW w:w="1104"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5.72</w:t>
            </w:r>
          </w:p>
        </w:tc>
        <w:tc>
          <w:tcPr>
            <w:tcW w:w="259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Índice de Innovación Pública</w:t>
            </w:r>
          </w:p>
        </w:tc>
        <w:tc>
          <w:tcPr>
            <w:tcW w:w="2104"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Veeduría Distrital</w:t>
            </w:r>
          </w:p>
        </w:tc>
        <w:tc>
          <w:tcPr>
            <w:tcW w:w="612"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2023</w:t>
            </w:r>
          </w:p>
        </w:tc>
        <w:tc>
          <w:tcPr>
            <w:tcW w:w="129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45,0</w:t>
            </w:r>
          </w:p>
        </w:tc>
        <w:tc>
          <w:tcPr>
            <w:tcW w:w="1119"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59,2</w:t>
            </w:r>
          </w:p>
        </w:tc>
      </w:tr>
      <w:tr w:rsidR="00D35DC7">
        <w:trPr>
          <w:trHeight w:val="975"/>
        </w:trPr>
        <w:tc>
          <w:tcPr>
            <w:tcW w:w="1104"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5.73</w:t>
            </w:r>
          </w:p>
        </w:tc>
        <w:tc>
          <w:tcPr>
            <w:tcW w:w="259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Nivel de éxito procesal en el Distrito Capital (Porcentaje)</w:t>
            </w:r>
          </w:p>
        </w:tc>
        <w:tc>
          <w:tcPr>
            <w:tcW w:w="2104"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Reporte del Sistema de Información SIPROJ</w:t>
            </w:r>
          </w:p>
        </w:tc>
        <w:tc>
          <w:tcPr>
            <w:tcW w:w="612"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2023</w:t>
            </w:r>
          </w:p>
        </w:tc>
        <w:tc>
          <w:tcPr>
            <w:tcW w:w="129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83,0</w:t>
            </w:r>
          </w:p>
        </w:tc>
        <w:tc>
          <w:tcPr>
            <w:tcW w:w="1119"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84,0</w:t>
            </w:r>
          </w:p>
        </w:tc>
      </w:tr>
      <w:tr w:rsidR="00D35DC7">
        <w:trPr>
          <w:trHeight w:val="1395"/>
        </w:trPr>
        <w:tc>
          <w:tcPr>
            <w:tcW w:w="1104"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5.74</w:t>
            </w:r>
          </w:p>
        </w:tc>
        <w:tc>
          <w:tcPr>
            <w:tcW w:w="259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Participación Ciudadana Incidente en proyectos de actos administrativos en el Distrito Capital (Porcentaje)</w:t>
            </w:r>
          </w:p>
        </w:tc>
        <w:tc>
          <w:tcPr>
            <w:tcW w:w="2104"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Reporte del Sistema de Legalbog Participa</w:t>
            </w:r>
          </w:p>
        </w:tc>
        <w:tc>
          <w:tcPr>
            <w:tcW w:w="612"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2023</w:t>
            </w:r>
          </w:p>
        </w:tc>
        <w:tc>
          <w:tcPr>
            <w:tcW w:w="129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28</w:t>
            </w:r>
          </w:p>
        </w:tc>
        <w:tc>
          <w:tcPr>
            <w:tcW w:w="1119"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43</w:t>
            </w:r>
          </w:p>
        </w:tc>
      </w:tr>
      <w:tr w:rsidR="00D35DC7">
        <w:trPr>
          <w:trHeight w:val="1935"/>
        </w:trPr>
        <w:tc>
          <w:tcPr>
            <w:tcW w:w="1104" w:type="dxa"/>
            <w:tcBorders>
              <w:top w:val="nil"/>
              <w:left w:val="single" w:sz="6" w:space="0" w:color="000000"/>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5.75</w:t>
            </w:r>
          </w:p>
        </w:tc>
        <w:tc>
          <w:tcPr>
            <w:tcW w:w="2597"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Número de nuevos empleos creados en las entidades centralizadas, descentralizadas, órganos y organismos distritales, de acuerdo con lo definido en los estudios técnicos</w:t>
            </w:r>
          </w:p>
        </w:tc>
        <w:tc>
          <w:tcPr>
            <w:tcW w:w="2104"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Departamento Administrativo del Servicio Civil Distrital</w:t>
            </w:r>
          </w:p>
        </w:tc>
        <w:tc>
          <w:tcPr>
            <w:tcW w:w="612"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2020 - 2023</w:t>
            </w:r>
          </w:p>
        </w:tc>
        <w:tc>
          <w:tcPr>
            <w:tcW w:w="1298"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rPr>
                <w:rFonts w:ascii="Arial" w:eastAsia="Arial" w:hAnsi="Arial" w:cs="Arial"/>
                <w:b/>
                <w:sz w:val="20"/>
                <w:szCs w:val="20"/>
              </w:rPr>
            </w:pPr>
            <w:r>
              <w:rPr>
                <w:rFonts w:ascii="Arial" w:eastAsia="Arial" w:hAnsi="Arial" w:cs="Arial"/>
                <w:b/>
                <w:sz w:val="20"/>
                <w:szCs w:val="20"/>
              </w:rPr>
              <w:t xml:space="preserve">            </w:t>
            </w:r>
            <w:r>
              <w:rPr>
                <w:rFonts w:ascii="Arial" w:eastAsia="Arial" w:hAnsi="Arial" w:cs="Arial"/>
                <w:b/>
                <w:sz w:val="20"/>
                <w:szCs w:val="20"/>
              </w:rPr>
              <w:tab/>
              <w:t>3.757</w:t>
            </w:r>
          </w:p>
        </w:tc>
        <w:tc>
          <w:tcPr>
            <w:tcW w:w="1119" w:type="dxa"/>
            <w:tcBorders>
              <w:top w:val="nil"/>
              <w:left w:val="nil"/>
              <w:bottom w:val="single" w:sz="6" w:space="0" w:color="000000"/>
              <w:right w:val="single" w:sz="6" w:space="0" w:color="000000"/>
            </w:tcBorders>
            <w:tcMar>
              <w:top w:w="0" w:type="dxa"/>
              <w:left w:w="80" w:type="dxa"/>
              <w:bottom w:w="0" w:type="dxa"/>
              <w:right w:w="80" w:type="dxa"/>
            </w:tcMar>
          </w:tcPr>
          <w:p w:rsidR="00D35DC7" w:rsidRDefault="00982954">
            <w:pPr>
              <w:spacing w:before="240" w:line="276" w:lineRule="auto"/>
              <w:jc w:val="right"/>
              <w:rPr>
                <w:rFonts w:ascii="Arial" w:eastAsia="Arial" w:hAnsi="Arial" w:cs="Arial"/>
                <w:b/>
                <w:sz w:val="20"/>
                <w:szCs w:val="20"/>
              </w:rPr>
            </w:pPr>
            <w:r>
              <w:rPr>
                <w:rFonts w:ascii="Arial" w:eastAsia="Arial" w:hAnsi="Arial" w:cs="Arial"/>
                <w:b/>
                <w:sz w:val="20"/>
                <w:szCs w:val="20"/>
              </w:rPr>
              <w:t xml:space="preserve">      </w:t>
            </w:r>
            <w:r>
              <w:rPr>
                <w:rFonts w:ascii="Arial" w:eastAsia="Arial" w:hAnsi="Arial" w:cs="Arial"/>
                <w:b/>
                <w:sz w:val="20"/>
                <w:szCs w:val="20"/>
              </w:rPr>
              <w:tab/>
              <w:t>2.000</w:t>
            </w:r>
          </w:p>
        </w:tc>
      </w:tr>
    </w:tbl>
    <w:p w:rsidR="00D35DC7" w:rsidRDefault="00982954">
      <w:pPr>
        <w:spacing w:before="240" w:after="240" w:line="360" w:lineRule="auto"/>
        <w:rPr>
          <w:rFonts w:ascii="Arial" w:eastAsia="Arial" w:hAnsi="Arial" w:cs="Arial"/>
          <w:b/>
        </w:rPr>
      </w:pPr>
      <w:r>
        <w:rPr>
          <w:rFonts w:ascii="Arial" w:eastAsia="Arial" w:hAnsi="Arial" w:cs="Arial"/>
          <w:b/>
        </w:rPr>
        <w:t xml:space="preserve"> </w:t>
      </w:r>
    </w:p>
    <w:p w:rsidR="00D35DC7" w:rsidRDefault="00D35DC7">
      <w:pPr>
        <w:spacing w:line="360" w:lineRule="auto"/>
        <w:rPr>
          <w:rFonts w:ascii="Arial" w:eastAsia="Arial" w:hAnsi="Arial" w:cs="Arial"/>
          <w:b/>
        </w:rPr>
      </w:pPr>
    </w:p>
    <w:p w:rsidR="00D35DC7" w:rsidRDefault="00D35DC7">
      <w:pPr>
        <w:spacing w:line="360" w:lineRule="auto"/>
        <w:rPr>
          <w:rFonts w:ascii="Arial" w:eastAsia="Arial" w:hAnsi="Arial" w:cs="Arial"/>
          <w:b/>
        </w:rPr>
      </w:pPr>
    </w:p>
    <w:p w:rsidR="00D35DC7" w:rsidRDefault="00D35DC7">
      <w:pPr>
        <w:spacing w:line="360" w:lineRule="auto"/>
        <w:rPr>
          <w:rFonts w:ascii="Arial" w:eastAsia="Arial" w:hAnsi="Arial" w:cs="Arial"/>
          <w:b/>
        </w:rPr>
      </w:pPr>
    </w:p>
    <w:p w:rsidR="00D35DC7" w:rsidRDefault="00D35DC7">
      <w:pPr>
        <w:spacing w:line="360" w:lineRule="auto"/>
        <w:rPr>
          <w:rFonts w:ascii="Arial" w:eastAsia="Arial" w:hAnsi="Arial" w:cs="Arial"/>
          <w:b/>
        </w:rPr>
      </w:pPr>
    </w:p>
    <w:p w:rsidR="00D35DC7" w:rsidRDefault="00D35DC7">
      <w:pPr>
        <w:spacing w:line="360" w:lineRule="auto"/>
        <w:rPr>
          <w:rFonts w:ascii="Arial" w:eastAsia="Arial" w:hAnsi="Arial" w:cs="Arial"/>
          <w:b/>
        </w:rPr>
      </w:pPr>
    </w:p>
    <w:p w:rsidR="00D35DC7" w:rsidRDefault="00D35DC7">
      <w:pPr>
        <w:spacing w:line="360" w:lineRule="auto"/>
        <w:rPr>
          <w:rFonts w:ascii="Arial" w:eastAsia="Arial" w:hAnsi="Arial" w:cs="Arial"/>
          <w:b/>
        </w:rPr>
      </w:pPr>
    </w:p>
    <w:p w:rsidR="00D35DC7" w:rsidRDefault="00D35DC7">
      <w:pPr>
        <w:spacing w:line="360" w:lineRule="auto"/>
        <w:rPr>
          <w:rFonts w:ascii="Arial" w:eastAsia="Arial" w:hAnsi="Arial" w:cs="Arial"/>
          <w:b/>
        </w:rPr>
      </w:pPr>
    </w:p>
    <w:p w:rsidR="00D35DC7" w:rsidRDefault="00D35DC7">
      <w:pPr>
        <w:spacing w:line="360" w:lineRule="auto"/>
        <w:rPr>
          <w:rFonts w:ascii="Arial" w:eastAsia="Arial" w:hAnsi="Arial" w:cs="Arial"/>
          <w:b/>
        </w:rPr>
      </w:pPr>
    </w:p>
    <w:p w:rsidR="00D35DC7" w:rsidRDefault="00D35DC7">
      <w:pPr>
        <w:spacing w:line="360" w:lineRule="auto"/>
        <w:rPr>
          <w:rFonts w:ascii="Arial" w:eastAsia="Arial" w:hAnsi="Arial" w:cs="Arial"/>
          <w:b/>
        </w:rPr>
      </w:pPr>
    </w:p>
    <w:p w:rsidR="00D35DC7" w:rsidRDefault="00D35DC7">
      <w:pPr>
        <w:spacing w:line="360" w:lineRule="auto"/>
        <w:rPr>
          <w:rFonts w:ascii="Arial" w:eastAsia="Arial" w:hAnsi="Arial" w:cs="Arial"/>
          <w:b/>
        </w:rPr>
      </w:pPr>
    </w:p>
    <w:p w:rsidR="00D35DC7" w:rsidRDefault="00D35DC7">
      <w:pPr>
        <w:spacing w:line="360" w:lineRule="auto"/>
        <w:rPr>
          <w:rFonts w:ascii="Arial" w:eastAsia="Arial" w:hAnsi="Arial" w:cs="Arial"/>
          <w:b/>
        </w:rPr>
      </w:pPr>
    </w:p>
    <w:p w:rsidR="00D35DC7" w:rsidRDefault="00D35DC7">
      <w:pPr>
        <w:spacing w:line="360" w:lineRule="auto"/>
        <w:jc w:val="both"/>
        <w:rPr>
          <w:rFonts w:ascii="Arial" w:eastAsia="Arial" w:hAnsi="Arial" w:cs="Arial"/>
        </w:rPr>
      </w:pPr>
    </w:p>
    <w:p w:rsidR="00D35DC7" w:rsidRDefault="00D35DC7">
      <w:pPr>
        <w:spacing w:line="360" w:lineRule="auto"/>
        <w:rPr>
          <w:rFonts w:ascii="Arial" w:eastAsia="Arial" w:hAnsi="Arial" w:cs="Arial"/>
        </w:rPr>
      </w:pPr>
    </w:p>
    <w:p w:rsidR="00D35DC7" w:rsidRDefault="00D35DC7">
      <w:pPr>
        <w:jc w:val="both"/>
        <w:rPr>
          <w:rFonts w:ascii="Arial" w:eastAsia="Arial" w:hAnsi="Arial" w:cs="Arial"/>
        </w:rPr>
      </w:pPr>
    </w:p>
    <w:p w:rsidR="00D35DC7" w:rsidRDefault="00D35DC7">
      <w:pPr>
        <w:jc w:val="both"/>
        <w:rPr>
          <w:rFonts w:ascii="Arial" w:eastAsia="Arial" w:hAnsi="Arial" w:cs="Arial"/>
        </w:rPr>
      </w:pPr>
    </w:p>
    <w:p w:rsidR="00D35DC7" w:rsidRDefault="00D35DC7">
      <w:pPr>
        <w:jc w:val="center"/>
        <w:rPr>
          <w:rFonts w:ascii="Arial" w:eastAsia="Arial" w:hAnsi="Arial" w:cs="Arial"/>
        </w:rPr>
      </w:pPr>
    </w:p>
    <w:sectPr w:rsidR="00D35DC7">
      <w:headerReference w:type="default" r:id="rId30"/>
      <w:footerReference w:type="default" r:id="rId31"/>
      <w:pgSz w:w="12240" w:h="15840"/>
      <w:pgMar w:top="1417" w:right="1701" w:bottom="1417" w:left="1701"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82954" w:rsidRDefault="00982954">
      <w:r>
        <w:separator/>
      </w:r>
    </w:p>
  </w:endnote>
  <w:endnote w:type="continuationSeparator" w:id="0">
    <w:p w:rsidR="00982954" w:rsidRDefault="0098295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Georgia">
    <w:panose1 w:val="02040502050405020303"/>
    <w:charset w:val="00"/>
    <w:family w:val="roman"/>
    <w:pitch w:val="variable"/>
    <w:sig w:usb0="00000287" w:usb1="00000000" w:usb2="00000000" w:usb3="00000000" w:csb0="0000009F" w:csb1="00000000"/>
  </w:font>
  <w:font w:name="Roboto">
    <w:altName w:val="Arial"/>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35DC7" w:rsidRDefault="00982954">
    <w:pPr>
      <w:jc w:val="right"/>
    </w:pPr>
    <w:r>
      <w:fldChar w:fldCharType="begin"/>
    </w:r>
    <w:r>
      <w:instrText>PAGE</w:instrText>
    </w:r>
    <w:r>
      <w:fldChar w:fldCharType="separate"/>
    </w:r>
    <w:r w:rsidR="00A57503">
      <w:rPr>
        <w:noProof/>
      </w:rPr>
      <w:t>2</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82954" w:rsidRDefault="00982954">
      <w:r>
        <w:separator/>
      </w:r>
    </w:p>
  </w:footnote>
  <w:footnote w:type="continuationSeparator" w:id="0">
    <w:p w:rsidR="00982954" w:rsidRDefault="00982954">
      <w:r>
        <w:continuationSeparator/>
      </w:r>
    </w:p>
  </w:footnote>
  <w:footnote w:id="1">
    <w:p w:rsidR="00D35DC7" w:rsidRDefault="00982954">
      <w:pPr>
        <w:pBdr>
          <w:top w:val="nil"/>
          <w:left w:val="nil"/>
          <w:bottom w:val="nil"/>
          <w:right w:val="nil"/>
          <w:between w:val="nil"/>
        </w:pBdr>
        <w:rPr>
          <w:rFonts w:ascii="Arial" w:eastAsia="Arial" w:hAnsi="Arial" w:cs="Arial"/>
          <w:color w:val="000000"/>
          <w:sz w:val="16"/>
          <w:szCs w:val="16"/>
        </w:rPr>
      </w:pPr>
      <w:r>
        <w:rPr>
          <w:vertAlign w:val="superscript"/>
        </w:rPr>
        <w:footnoteRef/>
      </w:r>
      <w:r>
        <w:rPr>
          <w:rFonts w:ascii="Arial" w:eastAsia="Arial" w:hAnsi="Arial" w:cs="Arial"/>
          <w:color w:val="000000"/>
          <w:sz w:val="16"/>
          <w:szCs w:val="16"/>
        </w:rPr>
        <w:t>. Ley 850 de 2003 Por medio de la cual se reglamentan las veedurías ciudadanas.</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35DC7" w:rsidRDefault="00D35DC7">
    <w:pPr>
      <w:widowControl w:val="0"/>
      <w:pBdr>
        <w:top w:val="nil"/>
        <w:left w:val="nil"/>
        <w:bottom w:val="nil"/>
        <w:right w:val="nil"/>
        <w:between w:val="nil"/>
      </w:pBdr>
      <w:spacing w:line="276" w:lineRule="auto"/>
      <w:rPr>
        <w:rFonts w:ascii="Arial" w:eastAsia="Arial" w:hAnsi="Arial" w:cs="Arial"/>
        <w:color w:val="000000"/>
        <w:sz w:val="16"/>
        <w:szCs w:val="16"/>
      </w:rPr>
    </w:pPr>
  </w:p>
  <w:tbl>
    <w:tblPr>
      <w:tblStyle w:val="af"/>
      <w:tblW w:w="8828" w:type="dxa"/>
      <w:tblInd w:w="-5" w:type="dxa"/>
      <w:tblLayout w:type="fixed"/>
      <w:tblLook w:val="0000" w:firstRow="0" w:lastRow="0" w:firstColumn="0" w:lastColumn="0" w:noHBand="0" w:noVBand="0"/>
    </w:tblPr>
    <w:tblGrid>
      <w:gridCol w:w="2361"/>
      <w:gridCol w:w="4234"/>
      <w:gridCol w:w="2233"/>
    </w:tblGrid>
    <w:tr w:rsidR="00D35DC7">
      <w:trPr>
        <w:trHeight w:val="454"/>
      </w:trPr>
      <w:tc>
        <w:tcPr>
          <w:tcW w:w="2361" w:type="dxa"/>
          <w:vMerge w:val="restart"/>
          <w:tcBorders>
            <w:top w:val="single" w:sz="4" w:space="0" w:color="000000"/>
            <w:left w:val="single" w:sz="4" w:space="0" w:color="000000"/>
            <w:right w:val="single" w:sz="4" w:space="0" w:color="000000"/>
          </w:tcBorders>
          <w:vAlign w:val="center"/>
        </w:tcPr>
        <w:p w:rsidR="00D35DC7" w:rsidRDefault="00982954">
          <w:pPr>
            <w:ind w:right="360"/>
            <w:jc w:val="center"/>
            <w:rPr>
              <w:sz w:val="16"/>
              <w:szCs w:val="16"/>
            </w:rPr>
          </w:pPr>
          <w:r>
            <w:rPr>
              <w:noProof/>
              <w:lang w:val="es-ES" w:eastAsia="es-ES"/>
            </w:rPr>
            <w:drawing>
              <wp:anchor distT="0" distB="0" distL="0" distR="0" simplePos="0" relativeHeight="251658240" behindDoc="1" locked="0" layoutInCell="1" hidden="0" allowOverlap="1">
                <wp:simplePos x="0" y="0"/>
                <wp:positionH relativeFrom="column">
                  <wp:posOffset>335915</wp:posOffset>
                </wp:positionH>
                <wp:positionV relativeFrom="paragraph">
                  <wp:posOffset>17780</wp:posOffset>
                </wp:positionV>
                <wp:extent cx="752475" cy="885825"/>
                <wp:effectExtent l="0" t="0" r="0" b="0"/>
                <wp:wrapNone/>
                <wp:docPr id="17"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752475" cy="885825"/>
                        </a:xfrm>
                        <a:prstGeom prst="rect">
                          <a:avLst/>
                        </a:prstGeom>
                        <a:ln/>
                      </pic:spPr>
                    </pic:pic>
                  </a:graphicData>
                </a:graphic>
              </wp:anchor>
            </w:drawing>
          </w:r>
        </w:p>
      </w:tc>
      <w:tc>
        <w:tcPr>
          <w:tcW w:w="4234" w:type="dxa"/>
          <w:tcBorders>
            <w:top w:val="single" w:sz="4" w:space="0" w:color="000000"/>
            <w:left w:val="nil"/>
            <w:bottom w:val="single" w:sz="4" w:space="0" w:color="000000"/>
            <w:right w:val="single" w:sz="4" w:space="0" w:color="000000"/>
          </w:tcBorders>
          <w:vAlign w:val="center"/>
        </w:tcPr>
        <w:p w:rsidR="00D35DC7" w:rsidRDefault="00982954">
          <w:pPr>
            <w:jc w:val="center"/>
            <w:rPr>
              <w:sz w:val="18"/>
              <w:szCs w:val="18"/>
            </w:rPr>
          </w:pPr>
          <w:r>
            <w:rPr>
              <w:sz w:val="18"/>
              <w:szCs w:val="18"/>
            </w:rPr>
            <w:t>PROCESO GESTIÓN NORMATIVA</w:t>
          </w:r>
        </w:p>
      </w:tc>
      <w:tc>
        <w:tcPr>
          <w:tcW w:w="2233" w:type="dxa"/>
          <w:tcBorders>
            <w:top w:val="single" w:sz="4" w:space="0" w:color="000000"/>
            <w:left w:val="nil"/>
            <w:bottom w:val="single" w:sz="4" w:space="0" w:color="000000"/>
            <w:right w:val="single" w:sz="4" w:space="0" w:color="000000"/>
          </w:tcBorders>
          <w:vAlign w:val="center"/>
        </w:tcPr>
        <w:p w:rsidR="00D35DC7" w:rsidRDefault="00982954">
          <w:pPr>
            <w:rPr>
              <w:sz w:val="16"/>
              <w:szCs w:val="16"/>
            </w:rPr>
          </w:pPr>
          <w:r>
            <w:rPr>
              <w:sz w:val="16"/>
              <w:szCs w:val="16"/>
            </w:rPr>
            <w:t>CÓDIGO</w:t>
          </w:r>
          <w:r>
            <w:rPr>
              <w:color w:val="3366FF"/>
              <w:sz w:val="16"/>
              <w:szCs w:val="16"/>
            </w:rPr>
            <w:t xml:space="preserve">: </w:t>
          </w:r>
          <w:r>
            <w:rPr>
              <w:sz w:val="16"/>
              <w:szCs w:val="16"/>
            </w:rPr>
            <w:t>GNV-FO-003</w:t>
          </w:r>
        </w:p>
      </w:tc>
    </w:tr>
    <w:tr w:rsidR="00D35DC7">
      <w:trPr>
        <w:trHeight w:val="454"/>
      </w:trPr>
      <w:tc>
        <w:tcPr>
          <w:tcW w:w="2361" w:type="dxa"/>
          <w:vMerge/>
          <w:tcBorders>
            <w:top w:val="single" w:sz="4" w:space="0" w:color="000000"/>
            <w:left w:val="single" w:sz="4" w:space="0" w:color="000000"/>
            <w:right w:val="single" w:sz="4" w:space="0" w:color="000000"/>
          </w:tcBorders>
          <w:vAlign w:val="center"/>
        </w:tcPr>
        <w:p w:rsidR="00D35DC7" w:rsidRDefault="00D35DC7">
          <w:pPr>
            <w:widowControl w:val="0"/>
            <w:pBdr>
              <w:top w:val="nil"/>
              <w:left w:val="nil"/>
              <w:bottom w:val="nil"/>
              <w:right w:val="nil"/>
              <w:between w:val="nil"/>
            </w:pBdr>
            <w:spacing w:line="276" w:lineRule="auto"/>
            <w:rPr>
              <w:sz w:val="16"/>
              <w:szCs w:val="16"/>
            </w:rPr>
          </w:pPr>
        </w:p>
      </w:tc>
      <w:tc>
        <w:tcPr>
          <w:tcW w:w="4234" w:type="dxa"/>
          <w:vMerge w:val="restart"/>
          <w:tcBorders>
            <w:top w:val="single" w:sz="4" w:space="0" w:color="000000"/>
            <w:left w:val="nil"/>
            <w:right w:val="single" w:sz="4" w:space="0" w:color="000000"/>
          </w:tcBorders>
          <w:vAlign w:val="center"/>
        </w:tcPr>
        <w:p w:rsidR="00D35DC7" w:rsidRDefault="00982954">
          <w:pPr>
            <w:jc w:val="center"/>
            <w:rPr>
              <w:sz w:val="20"/>
              <w:szCs w:val="20"/>
            </w:rPr>
          </w:pPr>
          <w:r>
            <w:rPr>
              <w:sz w:val="20"/>
              <w:szCs w:val="20"/>
            </w:rPr>
            <w:t>PRESENTACIÓN PONENCIAS</w:t>
          </w:r>
        </w:p>
      </w:tc>
      <w:tc>
        <w:tcPr>
          <w:tcW w:w="2233" w:type="dxa"/>
          <w:tcBorders>
            <w:top w:val="single" w:sz="4" w:space="0" w:color="000000"/>
            <w:left w:val="nil"/>
            <w:bottom w:val="single" w:sz="4" w:space="0" w:color="000000"/>
            <w:right w:val="single" w:sz="4" w:space="0" w:color="000000"/>
          </w:tcBorders>
          <w:vAlign w:val="center"/>
        </w:tcPr>
        <w:p w:rsidR="00D35DC7" w:rsidRDefault="00982954">
          <w:pPr>
            <w:rPr>
              <w:sz w:val="16"/>
              <w:szCs w:val="16"/>
            </w:rPr>
          </w:pPr>
          <w:r>
            <w:rPr>
              <w:sz w:val="16"/>
              <w:szCs w:val="16"/>
            </w:rPr>
            <w:t>VERSIÓN:    01</w:t>
          </w:r>
        </w:p>
      </w:tc>
    </w:tr>
    <w:tr w:rsidR="00D35DC7">
      <w:trPr>
        <w:trHeight w:val="454"/>
      </w:trPr>
      <w:tc>
        <w:tcPr>
          <w:tcW w:w="2361" w:type="dxa"/>
          <w:vMerge/>
          <w:tcBorders>
            <w:top w:val="single" w:sz="4" w:space="0" w:color="000000"/>
            <w:left w:val="single" w:sz="4" w:space="0" w:color="000000"/>
            <w:bottom w:val="single" w:sz="8" w:space="0" w:color="000000"/>
            <w:right w:val="single" w:sz="4" w:space="0" w:color="000000"/>
          </w:tcBorders>
          <w:vAlign w:val="center"/>
        </w:tcPr>
        <w:p w:rsidR="00D35DC7" w:rsidRDefault="00D35DC7">
          <w:pPr>
            <w:widowControl w:val="0"/>
            <w:pBdr>
              <w:top w:val="nil"/>
              <w:left w:val="nil"/>
              <w:bottom w:val="nil"/>
              <w:right w:val="nil"/>
              <w:between w:val="nil"/>
            </w:pBdr>
            <w:spacing w:line="276" w:lineRule="auto"/>
            <w:rPr>
              <w:sz w:val="16"/>
              <w:szCs w:val="16"/>
            </w:rPr>
          </w:pPr>
        </w:p>
      </w:tc>
      <w:tc>
        <w:tcPr>
          <w:tcW w:w="4234" w:type="dxa"/>
          <w:vMerge/>
          <w:tcBorders>
            <w:top w:val="single" w:sz="4" w:space="0" w:color="000000"/>
            <w:left w:val="nil"/>
            <w:bottom w:val="single" w:sz="8" w:space="0" w:color="000000"/>
            <w:right w:val="single" w:sz="4" w:space="0" w:color="000000"/>
          </w:tcBorders>
          <w:vAlign w:val="center"/>
        </w:tcPr>
        <w:p w:rsidR="00D35DC7" w:rsidRDefault="00D35DC7">
          <w:pPr>
            <w:widowControl w:val="0"/>
            <w:pBdr>
              <w:top w:val="nil"/>
              <w:left w:val="nil"/>
              <w:bottom w:val="nil"/>
              <w:right w:val="nil"/>
              <w:between w:val="nil"/>
            </w:pBdr>
            <w:spacing w:line="276" w:lineRule="auto"/>
            <w:rPr>
              <w:sz w:val="16"/>
              <w:szCs w:val="16"/>
            </w:rPr>
          </w:pPr>
        </w:p>
      </w:tc>
      <w:tc>
        <w:tcPr>
          <w:tcW w:w="2233" w:type="dxa"/>
          <w:tcBorders>
            <w:top w:val="single" w:sz="4" w:space="0" w:color="000000"/>
            <w:left w:val="nil"/>
            <w:bottom w:val="single" w:sz="4" w:space="0" w:color="000000"/>
            <w:right w:val="single" w:sz="4" w:space="0" w:color="000000"/>
          </w:tcBorders>
          <w:vAlign w:val="center"/>
        </w:tcPr>
        <w:p w:rsidR="00D35DC7" w:rsidRDefault="00982954">
          <w:pPr>
            <w:rPr>
              <w:sz w:val="16"/>
              <w:szCs w:val="16"/>
            </w:rPr>
          </w:pPr>
          <w:r>
            <w:rPr>
              <w:sz w:val="16"/>
              <w:szCs w:val="16"/>
            </w:rPr>
            <w:t>FECHA: 14-Nov-2019</w:t>
          </w:r>
        </w:p>
      </w:tc>
    </w:tr>
  </w:tbl>
  <w:p w:rsidR="00D35DC7" w:rsidRDefault="00D35DC7">
    <w:pPr>
      <w:pBdr>
        <w:top w:val="nil"/>
        <w:left w:val="nil"/>
        <w:bottom w:val="nil"/>
        <w:right w:val="nil"/>
        <w:between w:val="nil"/>
      </w:pBdr>
      <w:tabs>
        <w:tab w:val="center" w:pos="4419"/>
        <w:tab w:val="right" w:pos="8838"/>
      </w:tabs>
      <w:rPr>
        <w:rFonts w:ascii="Calibri" w:eastAsia="Calibri" w:hAnsi="Calibri" w:cs="Calibri"/>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375292A"/>
    <w:multiLevelType w:val="multilevel"/>
    <w:tmpl w:val="EB5E12F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 w15:restartNumberingAfterBreak="0">
    <w:nsid w:val="2DA969BF"/>
    <w:multiLevelType w:val="multilevel"/>
    <w:tmpl w:val="16C4D05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30C37128"/>
    <w:multiLevelType w:val="multilevel"/>
    <w:tmpl w:val="97A402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49602026"/>
    <w:multiLevelType w:val="multilevel"/>
    <w:tmpl w:val="FD26324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4" w15:restartNumberingAfterBreak="0">
    <w:nsid w:val="53D97FC1"/>
    <w:multiLevelType w:val="multilevel"/>
    <w:tmpl w:val="B7ACE0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669F2B36"/>
    <w:multiLevelType w:val="multilevel"/>
    <w:tmpl w:val="CFC40AB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79B2729B"/>
    <w:multiLevelType w:val="multilevel"/>
    <w:tmpl w:val="00808A00"/>
    <w:lvl w:ilvl="0">
      <w:start w:val="1"/>
      <w:numFmt w:val="decimal"/>
      <w:lvlText w:val="%1."/>
      <w:lvlJc w:val="left"/>
      <w:pPr>
        <w:ind w:left="720" w:hanging="720"/>
      </w:pPr>
    </w:lvl>
    <w:lvl w:ilvl="1">
      <w:start w:val="1"/>
      <w:numFmt w:val="decimal"/>
      <w:lvlText w:val="%2."/>
      <w:lvlJc w:val="left"/>
      <w:pPr>
        <w:ind w:left="1440" w:hanging="720"/>
      </w:pPr>
    </w:lvl>
    <w:lvl w:ilvl="2">
      <w:start w:val="1"/>
      <w:numFmt w:val="decimal"/>
      <w:lvlText w:val="%3."/>
      <w:lvlJc w:val="left"/>
      <w:pPr>
        <w:ind w:left="2160" w:hanging="720"/>
      </w:pPr>
    </w:lvl>
    <w:lvl w:ilvl="3">
      <w:start w:val="1"/>
      <w:numFmt w:val="decimal"/>
      <w:lvlText w:val="%4."/>
      <w:lvlJc w:val="left"/>
      <w:pPr>
        <w:ind w:left="2880" w:hanging="720"/>
      </w:pPr>
    </w:lvl>
    <w:lvl w:ilvl="4">
      <w:start w:val="1"/>
      <w:numFmt w:val="decimal"/>
      <w:lvlText w:val="%5."/>
      <w:lvlJc w:val="left"/>
      <w:pPr>
        <w:ind w:left="3600" w:hanging="720"/>
      </w:pPr>
    </w:lvl>
    <w:lvl w:ilvl="5">
      <w:start w:val="1"/>
      <w:numFmt w:val="decimal"/>
      <w:lvlText w:val="%6."/>
      <w:lvlJc w:val="left"/>
      <w:pPr>
        <w:ind w:left="4320" w:hanging="720"/>
      </w:pPr>
    </w:lvl>
    <w:lvl w:ilvl="6">
      <w:start w:val="1"/>
      <w:numFmt w:val="decimal"/>
      <w:lvlText w:val="%7."/>
      <w:lvlJc w:val="left"/>
      <w:pPr>
        <w:ind w:left="5040" w:hanging="720"/>
      </w:pPr>
    </w:lvl>
    <w:lvl w:ilvl="7">
      <w:start w:val="1"/>
      <w:numFmt w:val="decimal"/>
      <w:lvlText w:val="%8."/>
      <w:lvlJc w:val="left"/>
      <w:pPr>
        <w:ind w:left="5760" w:hanging="720"/>
      </w:pPr>
    </w:lvl>
    <w:lvl w:ilvl="8">
      <w:start w:val="1"/>
      <w:numFmt w:val="decimal"/>
      <w:lvlText w:val="%9."/>
      <w:lvlJc w:val="left"/>
      <w:pPr>
        <w:ind w:left="6480" w:hanging="720"/>
      </w:pPr>
    </w:lvl>
  </w:abstractNum>
  <w:num w:numId="1">
    <w:abstractNumId w:val="5"/>
  </w:num>
  <w:num w:numId="2">
    <w:abstractNumId w:val="1"/>
  </w:num>
  <w:num w:numId="3">
    <w:abstractNumId w:val="3"/>
  </w:num>
  <w:num w:numId="4">
    <w:abstractNumId w:val="2"/>
  </w:num>
  <w:num w:numId="5">
    <w:abstractNumId w:val="0"/>
  </w:num>
  <w:num w:numId="6">
    <w:abstractNumId w:val="6"/>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35DC7"/>
    <w:rsid w:val="00982954"/>
    <w:rsid w:val="00A57503"/>
    <w:rsid w:val="00D35DC7"/>
    <w:rsid w:val="00DE269C"/>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8B231266-A3CD-4268-B04A-F62CBA28F5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4"/>
        <w:szCs w:val="24"/>
        <w:lang w:val="es-CO" w:eastAsia="es-CO"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D2591"/>
    <w:rPr>
      <w:lang w:eastAsia="es-ES_tradnl"/>
    </w:rPr>
  </w:style>
  <w:style w:type="paragraph" w:styleId="Ttulo1">
    <w:name w:val="heading 1"/>
    <w:basedOn w:val="Normal"/>
    <w:next w:val="Normal"/>
    <w:link w:val="Ttulo1Car"/>
    <w:uiPriority w:val="9"/>
    <w:qFormat/>
    <w:rsid w:val="0039602F"/>
    <w:pPr>
      <w:keepNext/>
      <w:spacing w:before="240" w:after="60"/>
      <w:outlineLvl w:val="0"/>
    </w:pPr>
    <w:rPr>
      <w:rFonts w:asciiTheme="majorHAnsi" w:eastAsiaTheme="majorEastAsia" w:hAnsiTheme="majorHAnsi" w:cstheme="majorBidi"/>
      <w:b/>
      <w:bCs/>
      <w:kern w:val="32"/>
      <w:sz w:val="32"/>
      <w:szCs w:val="32"/>
    </w:rPr>
  </w:style>
  <w:style w:type="paragraph" w:styleId="Ttulo2">
    <w:name w:val="heading 2"/>
    <w:basedOn w:val="Normal"/>
    <w:link w:val="Ttulo2Car"/>
    <w:uiPriority w:val="9"/>
    <w:unhideWhenUsed/>
    <w:qFormat/>
    <w:rsid w:val="00433DF9"/>
    <w:pPr>
      <w:widowControl w:val="0"/>
      <w:autoSpaceDE w:val="0"/>
      <w:autoSpaceDN w:val="0"/>
      <w:ind w:left="1085"/>
      <w:jc w:val="both"/>
      <w:outlineLvl w:val="1"/>
    </w:pPr>
    <w:rPr>
      <w:rFonts w:ascii="Arial" w:eastAsia="Arial" w:hAnsi="Arial" w:cs="Arial"/>
      <w:b/>
      <w:bCs/>
      <w:i/>
      <w:sz w:val="22"/>
      <w:szCs w:val="22"/>
      <w:u w:val="single" w:color="000000"/>
      <w:lang w:val="es-ES" w:eastAsia="es-ES" w:bidi="es-ES"/>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link w:val="Ttulo4Car"/>
    <w:uiPriority w:val="9"/>
    <w:semiHidden/>
    <w:unhideWhenUsed/>
    <w:qFormat/>
    <w:rsid w:val="00354E7F"/>
    <w:pPr>
      <w:keepNext/>
      <w:keepLines/>
      <w:spacing w:before="40"/>
      <w:outlineLvl w:val="3"/>
    </w:pPr>
    <w:rPr>
      <w:rFonts w:asciiTheme="majorHAnsi" w:eastAsiaTheme="majorEastAsia" w:hAnsiTheme="majorHAnsi" w:cstheme="majorBidi"/>
      <w:i/>
      <w:iCs/>
      <w:color w:val="2F5496" w:themeColor="accent1" w:themeShade="BF"/>
    </w:rPr>
  </w:style>
  <w:style w:type="paragraph" w:styleId="Ttulo5">
    <w:name w:val="heading 5"/>
    <w:basedOn w:val="Normal"/>
    <w:next w:val="Normal"/>
    <w:uiPriority w:val="9"/>
    <w:semiHidden/>
    <w:unhideWhenUsed/>
    <w:qFormat/>
    <w:pPr>
      <w:keepNext/>
      <w:keepLines/>
      <w:spacing w:before="220" w:after="40"/>
      <w:outlineLvl w:val="4"/>
    </w:pPr>
    <w:rPr>
      <w:b/>
      <w:sz w:val="22"/>
      <w:szCs w:val="22"/>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pPr>
      <w:keepNext/>
      <w:keepLines/>
      <w:spacing w:before="480" w:after="120"/>
    </w:pPr>
    <w:rPr>
      <w:b/>
      <w:sz w:val="72"/>
      <w:szCs w:val="72"/>
    </w:rPr>
  </w:style>
  <w:style w:type="paragraph" w:styleId="Encabezado">
    <w:name w:val="header"/>
    <w:basedOn w:val="Normal"/>
    <w:link w:val="EncabezadoCar"/>
    <w:uiPriority w:val="99"/>
    <w:unhideWhenUsed/>
    <w:rsid w:val="00C71389"/>
    <w:pPr>
      <w:tabs>
        <w:tab w:val="center" w:pos="4419"/>
        <w:tab w:val="right" w:pos="8838"/>
      </w:tabs>
    </w:pPr>
    <w:rPr>
      <w:rFonts w:asciiTheme="minorHAnsi" w:eastAsiaTheme="minorHAnsi" w:hAnsiTheme="minorHAnsi" w:cstheme="minorBidi"/>
      <w:lang w:eastAsia="en-US"/>
    </w:rPr>
  </w:style>
  <w:style w:type="character" w:customStyle="1" w:styleId="EncabezadoCar">
    <w:name w:val="Encabezado Car"/>
    <w:basedOn w:val="Fuentedeprrafopredeter"/>
    <w:link w:val="Encabezado"/>
    <w:uiPriority w:val="99"/>
    <w:rsid w:val="00C71389"/>
  </w:style>
  <w:style w:type="paragraph" w:styleId="Piedepgina">
    <w:name w:val="footer"/>
    <w:basedOn w:val="Normal"/>
    <w:link w:val="PiedepginaCar"/>
    <w:uiPriority w:val="99"/>
    <w:unhideWhenUsed/>
    <w:rsid w:val="00C71389"/>
    <w:pPr>
      <w:tabs>
        <w:tab w:val="center" w:pos="4419"/>
        <w:tab w:val="right" w:pos="8838"/>
      </w:tabs>
    </w:pPr>
    <w:rPr>
      <w:rFonts w:asciiTheme="minorHAnsi" w:eastAsiaTheme="minorHAnsi" w:hAnsiTheme="minorHAnsi" w:cstheme="minorBidi"/>
      <w:lang w:eastAsia="en-US"/>
    </w:rPr>
  </w:style>
  <w:style w:type="character" w:customStyle="1" w:styleId="PiedepginaCar">
    <w:name w:val="Pie de página Car"/>
    <w:basedOn w:val="Fuentedeprrafopredeter"/>
    <w:link w:val="Piedepgina"/>
    <w:uiPriority w:val="99"/>
    <w:rsid w:val="00C71389"/>
  </w:style>
  <w:style w:type="paragraph" w:styleId="Prrafodelista">
    <w:name w:val="List Paragraph"/>
    <w:aliases w:val="List1,LISTA,Párrafo de lista1,Párrafo de lista2,Ha,Resume Title,Bullet List,FooterText,numbered,List Paragraph1,Paragraphe de liste1,lp1,HOJA,Colorful List Accent 1,Colorful List - Accent 11,titulo 3,Colorful List - Accent 111,Bullets"/>
    <w:basedOn w:val="Normal"/>
    <w:link w:val="PrrafodelistaCar"/>
    <w:uiPriority w:val="34"/>
    <w:qFormat/>
    <w:rsid w:val="00C71389"/>
    <w:pPr>
      <w:ind w:left="708"/>
    </w:pPr>
    <w:rPr>
      <w:rFonts w:ascii="Arial" w:hAnsi="Arial"/>
      <w:color w:val="000000"/>
      <w:szCs w:val="20"/>
      <w:lang w:val="es-ES" w:eastAsia="es-ES"/>
    </w:rPr>
  </w:style>
  <w:style w:type="character" w:customStyle="1" w:styleId="PrrafodelistaCar">
    <w:name w:val="Párrafo de lista Car"/>
    <w:aliases w:val="List1 Car,LISTA Car,Párrafo de lista1 Car,Párrafo de lista2 Car,Ha Car,Resume Title Car,Bullet List Car,FooterText Car,numbered Car,List Paragraph1 Car,Paragraphe de liste1 Car,lp1 Car,HOJA Car,Colorful List Accent 1 Car,Bullets Car"/>
    <w:link w:val="Prrafodelista"/>
    <w:uiPriority w:val="34"/>
    <w:qFormat/>
    <w:locked/>
    <w:rsid w:val="00C71389"/>
    <w:rPr>
      <w:rFonts w:ascii="Arial" w:eastAsia="Times New Roman" w:hAnsi="Arial" w:cs="Times New Roman"/>
      <w:color w:val="000000"/>
      <w:szCs w:val="20"/>
      <w:lang w:val="es-ES" w:eastAsia="es-ES"/>
    </w:rPr>
  </w:style>
  <w:style w:type="character" w:customStyle="1" w:styleId="Ttulo2Car">
    <w:name w:val="Título 2 Car"/>
    <w:basedOn w:val="Fuentedeprrafopredeter"/>
    <w:link w:val="Ttulo2"/>
    <w:uiPriority w:val="9"/>
    <w:rsid w:val="00433DF9"/>
    <w:rPr>
      <w:rFonts w:ascii="Arial" w:eastAsia="Arial" w:hAnsi="Arial" w:cs="Arial"/>
      <w:b/>
      <w:bCs/>
      <w:i/>
      <w:sz w:val="22"/>
      <w:szCs w:val="22"/>
      <w:u w:val="single" w:color="000000"/>
      <w:lang w:val="es-ES" w:eastAsia="es-ES" w:bidi="es-ES"/>
    </w:rPr>
  </w:style>
  <w:style w:type="paragraph" w:styleId="Sinespaciado">
    <w:name w:val="No Spacing"/>
    <w:qFormat/>
    <w:rsid w:val="0039602F"/>
    <w:rPr>
      <w:sz w:val="20"/>
      <w:szCs w:val="20"/>
      <w:lang w:val="es-ES" w:eastAsia="es-ES"/>
    </w:rPr>
  </w:style>
  <w:style w:type="character" w:customStyle="1" w:styleId="Ttulo1Car">
    <w:name w:val="Título 1 Car"/>
    <w:basedOn w:val="Fuentedeprrafopredeter"/>
    <w:link w:val="Ttulo1"/>
    <w:uiPriority w:val="9"/>
    <w:rsid w:val="0039602F"/>
    <w:rPr>
      <w:rFonts w:asciiTheme="majorHAnsi" w:eastAsiaTheme="majorEastAsia" w:hAnsiTheme="majorHAnsi" w:cstheme="majorBidi"/>
      <w:b/>
      <w:bCs/>
      <w:kern w:val="32"/>
      <w:sz w:val="32"/>
      <w:szCs w:val="32"/>
      <w:lang w:eastAsia="es-ES_tradnl"/>
    </w:rPr>
  </w:style>
  <w:style w:type="character" w:customStyle="1" w:styleId="TextonotapieCar">
    <w:name w:val="Texto nota pie Car"/>
    <w:aliases w:val="Footnote Text Char Char Char Char Char Car,Footnote Text Char Char Char Char Car,Footnote reference Car,FA Fu Car,Footnote Text Char Char Char Char Char Char Char Char Car,Footnote Text Char Char Char Char Char Char1 Car,ft Car"/>
    <w:link w:val="Textonotapie"/>
    <w:uiPriority w:val="99"/>
    <w:rsid w:val="0039602F"/>
    <w:rPr>
      <w:rFonts w:ascii="Arial" w:hAnsi="Arial"/>
      <w:color w:val="000000"/>
    </w:rPr>
  </w:style>
  <w:style w:type="character" w:styleId="Refdenotaalpie">
    <w:name w:val="footnote reference"/>
    <w:uiPriority w:val="99"/>
    <w:unhideWhenUsed/>
    <w:rsid w:val="0039602F"/>
    <w:rPr>
      <w:vertAlign w:val="superscript"/>
    </w:rPr>
  </w:style>
  <w:style w:type="paragraph" w:styleId="Textonotapie">
    <w:name w:val="footnote text"/>
    <w:aliases w:val="Footnote Text Char Char Char Char Char,Footnote Text Char Char Char Char,Footnote reference,FA Fu,Footnote Text Char Char Char Char Char Char Char Char,Footnote Text Char Char Char Char Char Char1,ft"/>
    <w:basedOn w:val="Normal"/>
    <w:link w:val="TextonotapieCar"/>
    <w:uiPriority w:val="99"/>
    <w:unhideWhenUsed/>
    <w:rsid w:val="0039602F"/>
    <w:pPr>
      <w:suppressAutoHyphens/>
    </w:pPr>
    <w:rPr>
      <w:rFonts w:ascii="Arial" w:eastAsiaTheme="minorHAnsi" w:hAnsi="Arial" w:cstheme="minorBidi"/>
      <w:color w:val="000000"/>
      <w:lang w:eastAsia="en-US"/>
    </w:rPr>
  </w:style>
  <w:style w:type="character" w:customStyle="1" w:styleId="TextonotapieCar1">
    <w:name w:val="Texto nota pie Car1"/>
    <w:basedOn w:val="Fuentedeprrafopredeter"/>
    <w:uiPriority w:val="99"/>
    <w:semiHidden/>
    <w:rsid w:val="0039602F"/>
    <w:rPr>
      <w:sz w:val="20"/>
      <w:szCs w:val="20"/>
    </w:rPr>
  </w:style>
  <w:style w:type="paragraph" w:styleId="NormalWeb">
    <w:name w:val="Normal (Web)"/>
    <w:aliases w:val="Car Car Car Car Car Car Car Car Car Car,Car Car Car Car Car Car Car Car Car Car Car Car Car,Car2,Normal (Web) Car Car"/>
    <w:basedOn w:val="Normal"/>
    <w:link w:val="NormalWebCar"/>
    <w:uiPriority w:val="99"/>
    <w:qFormat/>
    <w:rsid w:val="00D546B7"/>
    <w:pPr>
      <w:spacing w:before="100" w:beforeAutospacing="1" w:after="100" w:afterAutospacing="1"/>
    </w:pPr>
    <w:rPr>
      <w:rFonts w:ascii="Arial" w:eastAsia="MS Mincho" w:hAnsi="Arial"/>
      <w:lang w:val="en-US" w:eastAsia="es-ES"/>
    </w:rPr>
  </w:style>
  <w:style w:type="character" w:customStyle="1" w:styleId="NormalWebCar">
    <w:name w:val="Normal (Web) Car"/>
    <w:aliases w:val="Car Car Car Car Car Car Car Car Car Car Car,Car Car Car Car Car Car Car Car Car Car Car Car Car Car,Car2 Car,Normal (Web) Car Car Car"/>
    <w:link w:val="NormalWeb"/>
    <w:uiPriority w:val="99"/>
    <w:locked/>
    <w:rsid w:val="00D546B7"/>
    <w:rPr>
      <w:rFonts w:ascii="Arial" w:eastAsia="MS Mincho" w:hAnsi="Arial" w:cs="Times New Roman"/>
      <w:lang w:val="en-US" w:eastAsia="es-ES"/>
    </w:rPr>
  </w:style>
  <w:style w:type="character" w:customStyle="1" w:styleId="apple-converted-space">
    <w:name w:val="apple-converted-space"/>
    <w:basedOn w:val="Fuentedeprrafopredeter"/>
    <w:rsid w:val="00D546B7"/>
    <w:rPr>
      <w:rFonts w:cs="Times New Roman"/>
    </w:rPr>
  </w:style>
  <w:style w:type="table" w:styleId="Tablaconcuadrcula">
    <w:name w:val="Table Grid"/>
    <w:basedOn w:val="Tablanormal"/>
    <w:uiPriority w:val="39"/>
    <w:rsid w:val="00B3672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oennegrita">
    <w:name w:val="Strong"/>
    <w:basedOn w:val="Fuentedeprrafopredeter"/>
    <w:uiPriority w:val="22"/>
    <w:qFormat/>
    <w:rsid w:val="00002CA1"/>
    <w:rPr>
      <w:b/>
      <w:bCs/>
    </w:rPr>
  </w:style>
  <w:style w:type="character" w:styleId="nfasis">
    <w:name w:val="Emphasis"/>
    <w:basedOn w:val="Fuentedeprrafopredeter"/>
    <w:uiPriority w:val="20"/>
    <w:qFormat/>
    <w:rsid w:val="00002CA1"/>
    <w:rPr>
      <w:i/>
      <w:iCs/>
    </w:rPr>
  </w:style>
  <w:style w:type="paragraph" w:styleId="Textoindependiente">
    <w:name w:val="Body Text"/>
    <w:basedOn w:val="Normal"/>
    <w:link w:val="TextoindependienteCar"/>
    <w:uiPriority w:val="1"/>
    <w:qFormat/>
    <w:rsid w:val="00816A43"/>
    <w:pPr>
      <w:widowControl w:val="0"/>
      <w:autoSpaceDE w:val="0"/>
      <w:autoSpaceDN w:val="0"/>
    </w:pPr>
    <w:rPr>
      <w:rFonts w:ascii="Arial" w:eastAsia="Arial" w:hAnsi="Arial" w:cs="Arial"/>
      <w:sz w:val="22"/>
      <w:szCs w:val="22"/>
      <w:lang w:val="es-ES" w:eastAsia="es-ES" w:bidi="es-ES"/>
    </w:rPr>
  </w:style>
  <w:style w:type="character" w:customStyle="1" w:styleId="TextoindependienteCar">
    <w:name w:val="Texto independiente Car"/>
    <w:basedOn w:val="Fuentedeprrafopredeter"/>
    <w:link w:val="Textoindependiente"/>
    <w:uiPriority w:val="1"/>
    <w:rsid w:val="00816A43"/>
    <w:rPr>
      <w:rFonts w:ascii="Arial" w:eastAsia="Arial" w:hAnsi="Arial" w:cs="Arial"/>
      <w:sz w:val="22"/>
      <w:szCs w:val="22"/>
      <w:lang w:val="es-ES" w:eastAsia="es-ES" w:bidi="es-ES"/>
    </w:rPr>
  </w:style>
  <w:style w:type="character" w:styleId="Hipervnculo">
    <w:name w:val="Hyperlink"/>
    <w:basedOn w:val="Fuentedeprrafopredeter"/>
    <w:uiPriority w:val="99"/>
    <w:unhideWhenUsed/>
    <w:rsid w:val="00B20628"/>
    <w:rPr>
      <w:color w:val="0000FF"/>
      <w:u w:val="single"/>
    </w:rPr>
  </w:style>
  <w:style w:type="character" w:customStyle="1" w:styleId="Ttulo4Car">
    <w:name w:val="Título 4 Car"/>
    <w:basedOn w:val="Fuentedeprrafopredeter"/>
    <w:link w:val="Ttulo4"/>
    <w:uiPriority w:val="9"/>
    <w:semiHidden/>
    <w:rsid w:val="00354E7F"/>
    <w:rPr>
      <w:rFonts w:asciiTheme="majorHAnsi" w:eastAsiaTheme="majorEastAsia" w:hAnsiTheme="majorHAnsi" w:cstheme="majorBidi"/>
      <w:i/>
      <w:iCs/>
      <w:color w:val="2F5496" w:themeColor="accent1" w:themeShade="BF"/>
      <w:lang w:eastAsia="es-ES_tradnl"/>
    </w:rPr>
  </w:style>
  <w:style w:type="paragraph" w:styleId="TtuloTDC">
    <w:name w:val="TOC Heading"/>
    <w:basedOn w:val="Ttulo1"/>
    <w:next w:val="Normal"/>
    <w:uiPriority w:val="39"/>
    <w:unhideWhenUsed/>
    <w:qFormat/>
    <w:rsid w:val="00D12AE0"/>
    <w:pPr>
      <w:keepLines/>
      <w:spacing w:after="0" w:line="259" w:lineRule="auto"/>
      <w:outlineLvl w:val="9"/>
    </w:pPr>
    <w:rPr>
      <w:b w:val="0"/>
      <w:bCs w:val="0"/>
      <w:color w:val="2F5496" w:themeColor="accent1" w:themeShade="BF"/>
      <w:kern w:val="0"/>
      <w:lang w:eastAsia="es-CO"/>
    </w:rPr>
  </w:style>
  <w:style w:type="character" w:customStyle="1" w:styleId="UnresolvedMention">
    <w:name w:val="Unresolved Mention"/>
    <w:basedOn w:val="Fuentedeprrafopredeter"/>
    <w:uiPriority w:val="99"/>
    <w:semiHidden/>
    <w:unhideWhenUsed/>
    <w:rsid w:val="00980658"/>
    <w:rPr>
      <w:color w:val="605E5C"/>
      <w:shd w:val="clear" w:color="auto" w:fill="E1DFDD"/>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table" w:customStyle="1" w:styleId="a5">
    <w:basedOn w:val="TableNormal"/>
    <w:tblPr>
      <w:tblStyleRowBandSize w:val="1"/>
      <w:tblStyleColBandSize w:val="1"/>
      <w:tblCellMar>
        <w:top w:w="100" w:type="dxa"/>
        <w:left w:w="100" w:type="dxa"/>
        <w:bottom w:w="100" w:type="dxa"/>
        <w:right w:w="100" w:type="dxa"/>
      </w:tblCellMar>
    </w:tblPr>
  </w:style>
  <w:style w:type="table" w:customStyle="1" w:styleId="a6">
    <w:basedOn w:val="TableNormal"/>
    <w:tblPr>
      <w:tblStyleRowBandSize w:val="1"/>
      <w:tblStyleColBandSize w:val="1"/>
      <w:tblCellMar>
        <w:top w:w="100" w:type="dxa"/>
        <w:left w:w="100" w:type="dxa"/>
        <w:bottom w:w="100" w:type="dxa"/>
        <w:right w:w="100" w:type="dxa"/>
      </w:tblCellMar>
    </w:tblPr>
  </w:style>
  <w:style w:type="table" w:customStyle="1" w:styleId="a7">
    <w:basedOn w:val="TableNormal"/>
    <w:tblPr>
      <w:tblStyleRowBandSize w:val="1"/>
      <w:tblStyleColBandSize w:val="1"/>
      <w:tblCellMar>
        <w:top w:w="100" w:type="dxa"/>
        <w:left w:w="100" w:type="dxa"/>
        <w:bottom w:w="100" w:type="dxa"/>
        <w:right w:w="100" w:type="dxa"/>
      </w:tblCellMar>
    </w:tblPr>
  </w:style>
  <w:style w:type="table" w:customStyle="1" w:styleId="a8">
    <w:basedOn w:val="TableNormal"/>
    <w:tblPr>
      <w:tblStyleRowBandSize w:val="1"/>
      <w:tblStyleColBandSize w:val="1"/>
      <w:tblCellMar>
        <w:top w:w="100" w:type="dxa"/>
        <w:left w:w="100" w:type="dxa"/>
        <w:bottom w:w="100" w:type="dxa"/>
        <w:right w:w="100" w:type="dxa"/>
      </w:tblCellMar>
    </w:tblPr>
  </w:style>
  <w:style w:type="table" w:customStyle="1" w:styleId="a9">
    <w:basedOn w:val="TableNormal"/>
    <w:tblPr>
      <w:tblStyleRowBandSize w:val="1"/>
      <w:tblStyleColBandSize w:val="1"/>
      <w:tblCellMar>
        <w:left w:w="108" w:type="dxa"/>
        <w:right w:w="108" w:type="dxa"/>
      </w:tblCellMar>
    </w:tblPr>
  </w:style>
  <w:style w:type="table" w:customStyle="1" w:styleId="aa">
    <w:basedOn w:val="TableNormal"/>
    <w:tblPr>
      <w:tblStyleRowBandSize w:val="1"/>
      <w:tblStyleColBandSize w:val="1"/>
      <w:tblCellMar>
        <w:top w:w="100" w:type="dxa"/>
        <w:left w:w="100" w:type="dxa"/>
        <w:bottom w:w="100" w:type="dxa"/>
        <w:right w:w="100" w:type="dxa"/>
      </w:tblCellMar>
    </w:tblPr>
  </w:style>
  <w:style w:type="table" w:customStyle="1" w:styleId="ab">
    <w:basedOn w:val="TableNormal"/>
    <w:tblPr>
      <w:tblStyleRowBandSize w:val="1"/>
      <w:tblStyleColBandSize w:val="1"/>
      <w:tblCellMar>
        <w:top w:w="100" w:type="dxa"/>
        <w:left w:w="100" w:type="dxa"/>
        <w:bottom w:w="100" w:type="dxa"/>
        <w:right w:w="100" w:type="dxa"/>
      </w:tblCellMar>
    </w:tblPr>
  </w:style>
  <w:style w:type="table" w:customStyle="1" w:styleId="ac">
    <w:basedOn w:val="TableNormal"/>
    <w:tblPr>
      <w:tblStyleRowBandSize w:val="1"/>
      <w:tblStyleColBandSize w:val="1"/>
      <w:tblCellMar>
        <w:top w:w="100" w:type="dxa"/>
        <w:left w:w="100" w:type="dxa"/>
        <w:bottom w:w="100" w:type="dxa"/>
        <w:right w:w="100" w:type="dxa"/>
      </w:tblCellMar>
    </w:tblPr>
  </w:style>
  <w:style w:type="table" w:customStyle="1" w:styleId="ad">
    <w:basedOn w:val="TableNormal"/>
    <w:tblPr>
      <w:tblStyleRowBandSize w:val="1"/>
      <w:tblStyleColBandSize w:val="1"/>
      <w:tblCellMar>
        <w:top w:w="100" w:type="dxa"/>
        <w:left w:w="100" w:type="dxa"/>
        <w:bottom w:w="100" w:type="dxa"/>
        <w:right w:w="100" w:type="dxa"/>
      </w:tblCellMar>
    </w:tblPr>
  </w:style>
  <w:style w:type="table" w:customStyle="1" w:styleId="ae">
    <w:basedOn w:val="TableNormal"/>
    <w:tblPr>
      <w:tblStyleRowBandSize w:val="1"/>
      <w:tblStyleColBandSize w:val="1"/>
      <w:tblCellMar>
        <w:top w:w="100" w:type="dxa"/>
        <w:left w:w="100" w:type="dxa"/>
        <w:bottom w:w="100" w:type="dxa"/>
        <w:right w:w="100" w:type="dxa"/>
      </w:tblCellMar>
    </w:tblPr>
  </w:style>
  <w:style w:type="table" w:customStyle="1" w:styleId="af">
    <w:basedOn w:val="TableNormal"/>
    <w:tblPr>
      <w:tblStyleRowBandSize w:val="1"/>
      <w:tblStyleColBandSize w:val="1"/>
      <w:tblCellMar>
        <w:left w:w="70" w:type="dxa"/>
        <w:right w:w="7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hyperlink" Target="https://www.alcaldiabogota.gov.co/sisjur/normas/Norma1.jsp?dt=S&amp;i=4125" TargetMode="Externa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hyperlink" Target="https://concejodebogota.gov.co/concejo/site/docs/20240110/asocfile/20240110090449/1__anexos_poli__ticas_pu__blicas_y_pot.xlsx" TargetMode="Externa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hyperlink" Target="https://www.alcaldiabogota.gov.co/sisjur/normas/Norma1.jsp?dt=S&amp;i=339" TargetMode="External"/><Relationship Id="rId30" Type="http://schemas.openxmlformats.org/officeDocument/2006/relationships/header" Target="header1.xml"/><Relationship Id="rId8"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20.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kg+Exn2BjEiv2LmoiS/lSZ6PqKQ==">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</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66</Pages>
  <Words>23558</Words>
  <Characters>129569</Characters>
  <Application>Microsoft Office Word</Application>
  <DocSecurity>0</DocSecurity>
  <Lines>1079</Lines>
  <Paragraphs>305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152822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Microsoft Office User</dc:creator>
  <cp:lastModifiedBy>GLORIA INES CELY LUNA</cp:lastModifiedBy>
  <cp:revision>2</cp:revision>
  <dcterms:created xsi:type="dcterms:W3CDTF">2024-05-17T22:21:00Z</dcterms:created>
  <dcterms:modified xsi:type="dcterms:W3CDTF">2024-05-17T22:21:00Z</dcterms:modified>
</cp:coreProperties>
</file>